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C4B5" w14:textId="77777777" w:rsidR="00A32A8E" w:rsidRDefault="00A32A8E" w:rsidP="00A32A8E">
      <w:pPr>
        <w:pStyle w:val="Heading1"/>
      </w:pPr>
      <w:r w:rsidRPr="00A32A8E">
        <w:t>How Specialty Clinics Can Improve Billing Accuracy and Speed</w:t>
      </w:r>
    </w:p>
    <w:p w14:paraId="423207CB" w14:textId="3DA920E1" w:rsidR="00A32A8E" w:rsidRPr="00A32A8E" w:rsidRDefault="00A32A8E" w:rsidP="00A32A8E">
      <w:pPr>
        <w:rPr>
          <w:b/>
          <w:bCs/>
        </w:rPr>
      </w:pPr>
      <w:r w:rsidRPr="00A32A8E">
        <w:rPr>
          <w:b/>
          <w:bCs/>
        </w:rPr>
        <w:t>Published on 20 April 2025 at 17:28</w:t>
      </w:r>
    </w:p>
    <w:p w14:paraId="7E572B18" w14:textId="35FBB292" w:rsidR="00A32A8E" w:rsidRPr="00A32A8E" w:rsidRDefault="00A32A8E" w:rsidP="00A32A8E">
      <w:pPr>
        <w:rPr>
          <w:b/>
          <w:bCs/>
        </w:rPr>
      </w:pPr>
      <w:r w:rsidRPr="00A32A8E">
        <w:rPr>
          <w:b/>
          <w:bCs/>
        </w:rPr>
        <w:t>Author: Kimberly Wiethoff</w:t>
      </w:r>
    </w:p>
    <w:p w14:paraId="4B5C4A11" w14:textId="77777777" w:rsidR="00A32A8E" w:rsidRPr="00A32A8E" w:rsidRDefault="00A32A8E" w:rsidP="00A32A8E">
      <w:r w:rsidRPr="00A32A8E">
        <w:t>Specialty clinics—from cardiology to dermatology to behavioral health—face unique challenges when it comes to medical billing. Unlike general practice, specialty billing often involves complex procedures, multiple modifiers, and specific documentation requirements that vary by payer. Even small errors in coding or claim submission can lead to costly delays or denials.</w:t>
      </w:r>
    </w:p>
    <w:p w14:paraId="3BCABFAC" w14:textId="309FD4A3" w:rsidR="00A32A8E" w:rsidRPr="00A32A8E" w:rsidRDefault="00A32A8E" w:rsidP="00A32A8E">
      <w:r w:rsidRPr="00A32A8E">
        <w:t>To maximize reimbursement and keep revenue flowing, specialty clinics need tailored billing strategies. Here’s how to improve both accuracy and speed in your billing process.</w:t>
      </w:r>
    </w:p>
    <w:p w14:paraId="6C27EC9E" w14:textId="77777777" w:rsidR="00A32A8E" w:rsidRPr="00A32A8E" w:rsidRDefault="00A32A8E" w:rsidP="00A32A8E">
      <w:pPr>
        <w:pStyle w:val="Heading2"/>
      </w:pPr>
      <w:r w:rsidRPr="00A32A8E">
        <w:t>1. Work With Specialty-Trained Billing Professionals</w:t>
      </w:r>
    </w:p>
    <w:p w14:paraId="52AD6002" w14:textId="77777777" w:rsidR="00A32A8E" w:rsidRPr="00A32A8E" w:rsidRDefault="00A32A8E" w:rsidP="00A32A8E">
      <w:r w:rsidRPr="00A32A8E">
        <w:t>Not all billers are created equal. Specialty clinics benefit from working with billing professionals who are trained in the nuances of your particular field. Whether it’s understanding which CPT codes apply to interventional cardiology or how to document mental health visits, expertise matters.</w:t>
      </w:r>
    </w:p>
    <w:p w14:paraId="6FA716A7" w14:textId="1292958E" w:rsidR="00A32A8E" w:rsidRPr="00A32A8E" w:rsidRDefault="00A32A8E" w:rsidP="00A32A8E">
      <w:r w:rsidRPr="00A32A8E">
        <w:rPr>
          <w:b/>
          <w:bCs/>
        </w:rPr>
        <w:t>Pro Tip:</w:t>
      </w:r>
      <w:r w:rsidRPr="00A32A8E">
        <w:t xml:space="preserve"> Ask your billing partner or in-house team if they have certified coders (e.g., CPC, COC) with experience in your specialty.</w:t>
      </w:r>
    </w:p>
    <w:p w14:paraId="781CEB8B" w14:textId="77777777" w:rsidR="00A32A8E" w:rsidRPr="00A32A8E" w:rsidRDefault="00A32A8E" w:rsidP="00A32A8E">
      <w:pPr>
        <w:pStyle w:val="Heading2"/>
      </w:pPr>
      <w:r w:rsidRPr="00A32A8E">
        <w:t>2. Standardize Documentation With Templates and Checklists</w:t>
      </w:r>
    </w:p>
    <w:p w14:paraId="75A213DD" w14:textId="642D7FE3" w:rsidR="00A32A8E" w:rsidRPr="00A32A8E" w:rsidRDefault="00A32A8E" w:rsidP="00A32A8E">
      <w:r w:rsidRPr="00A32A8E">
        <w:t xml:space="preserve">One of the top causes of claim delays in specialty clinics is </w:t>
      </w:r>
      <w:r w:rsidRPr="00A32A8E">
        <w:rPr>
          <w:b/>
          <w:bCs/>
        </w:rPr>
        <w:t>incomplete or inconsistent documentation</w:t>
      </w:r>
      <w:r w:rsidRPr="00A32A8E">
        <w:t>. Create specialty-specific documentation templates that ensure every required detail—like duration, symptoms, lab results, and medical necessity—is captured before a claim is generated.</w:t>
      </w:r>
    </w:p>
    <w:p w14:paraId="65E0F12E" w14:textId="77777777" w:rsidR="00A32A8E" w:rsidRPr="00A32A8E" w:rsidRDefault="00A32A8E" w:rsidP="00A32A8E">
      <w:pPr>
        <w:pStyle w:val="Heading2"/>
      </w:pPr>
      <w:r w:rsidRPr="00A32A8E">
        <w:t>3. Use Billing Software That Supports Complex Coding</w:t>
      </w:r>
    </w:p>
    <w:p w14:paraId="01916122" w14:textId="77777777" w:rsidR="00A32A8E" w:rsidRPr="00A32A8E" w:rsidRDefault="00A32A8E" w:rsidP="00A32A8E">
      <w:r w:rsidRPr="00A32A8E">
        <w:t xml:space="preserve">Specialty services often involve </w:t>
      </w:r>
      <w:r w:rsidRPr="00A32A8E">
        <w:rPr>
          <w:b/>
          <w:bCs/>
        </w:rPr>
        <w:t>multiple diagnosis codes, modifiers, and prior authorizations</w:t>
      </w:r>
      <w:r w:rsidRPr="00A32A8E">
        <w:t>. Your billing software should support these advanced workflows and provide features like:</w:t>
      </w:r>
    </w:p>
    <w:p w14:paraId="41480CA6" w14:textId="77777777" w:rsidR="00A32A8E" w:rsidRPr="00A32A8E" w:rsidRDefault="00A32A8E" w:rsidP="00A32A8E">
      <w:pPr>
        <w:numPr>
          <w:ilvl w:val="0"/>
          <w:numId w:val="1"/>
        </w:numPr>
      </w:pPr>
      <w:r w:rsidRPr="00A32A8E">
        <w:t>Modifier assistance</w:t>
      </w:r>
    </w:p>
    <w:p w14:paraId="041A1819" w14:textId="77777777" w:rsidR="00A32A8E" w:rsidRPr="00A32A8E" w:rsidRDefault="00A32A8E" w:rsidP="00A32A8E">
      <w:pPr>
        <w:numPr>
          <w:ilvl w:val="0"/>
          <w:numId w:val="1"/>
        </w:numPr>
      </w:pPr>
      <w:r w:rsidRPr="00A32A8E">
        <w:t>Automated code suggestions</w:t>
      </w:r>
    </w:p>
    <w:p w14:paraId="781B2336" w14:textId="77777777" w:rsidR="00A32A8E" w:rsidRPr="00A32A8E" w:rsidRDefault="00A32A8E" w:rsidP="00A32A8E">
      <w:pPr>
        <w:numPr>
          <w:ilvl w:val="0"/>
          <w:numId w:val="1"/>
        </w:numPr>
      </w:pPr>
      <w:r w:rsidRPr="00A32A8E">
        <w:lastRenderedPageBreak/>
        <w:t>Integrated authorization tracking</w:t>
      </w:r>
    </w:p>
    <w:p w14:paraId="065100DF" w14:textId="06C0FDAD" w:rsidR="00A32A8E" w:rsidRPr="00A32A8E" w:rsidRDefault="00A32A8E" w:rsidP="00A32A8E">
      <w:pPr>
        <w:numPr>
          <w:ilvl w:val="0"/>
          <w:numId w:val="1"/>
        </w:numPr>
      </w:pPr>
      <w:r w:rsidRPr="00A32A8E">
        <w:t>Specialty-specific claim templates</w:t>
      </w:r>
    </w:p>
    <w:p w14:paraId="6C9B1485" w14:textId="77777777" w:rsidR="00A32A8E" w:rsidRPr="00A32A8E" w:rsidRDefault="00A32A8E" w:rsidP="00A32A8E">
      <w:pPr>
        <w:pStyle w:val="Heading2"/>
      </w:pPr>
      <w:r w:rsidRPr="00A32A8E">
        <w:t>4. Implement Real-Time Eligibility Checks</w:t>
      </w:r>
    </w:p>
    <w:p w14:paraId="06CFC2A4" w14:textId="1507A038" w:rsidR="00A32A8E" w:rsidRPr="00A32A8E" w:rsidRDefault="00A32A8E" w:rsidP="00A32A8E">
      <w:r w:rsidRPr="00A32A8E">
        <w:t xml:space="preserve">Verifying insurance </w:t>
      </w:r>
      <w:r w:rsidRPr="00A32A8E">
        <w:rPr>
          <w:b/>
          <w:bCs/>
        </w:rPr>
        <w:t>before the appointment</w:t>
      </w:r>
      <w:r w:rsidRPr="00A32A8E">
        <w:t xml:space="preserve"> is critical, especially for high-cost or elective procedures. Real-time eligibility tools ensure you catch issues like inactive coverage or unmet deductibles before they affect reimbursement.</w:t>
      </w:r>
    </w:p>
    <w:p w14:paraId="6B6AB0F1" w14:textId="77777777" w:rsidR="00A32A8E" w:rsidRPr="00A32A8E" w:rsidRDefault="00A32A8E" w:rsidP="00A32A8E">
      <w:pPr>
        <w:pStyle w:val="Heading2"/>
      </w:pPr>
      <w:r w:rsidRPr="00A32A8E">
        <w:t>5. Monitor Key Metrics Weekly</w:t>
      </w:r>
    </w:p>
    <w:p w14:paraId="7713038F" w14:textId="77777777" w:rsidR="00A32A8E" w:rsidRPr="00A32A8E" w:rsidRDefault="00A32A8E" w:rsidP="00A32A8E">
      <w:r w:rsidRPr="00A32A8E">
        <w:t>Speed and accuracy go hand-in-hand with visibility. Track these metrics to spot issues early:</w:t>
      </w:r>
    </w:p>
    <w:p w14:paraId="2F7C8873" w14:textId="77777777" w:rsidR="00A32A8E" w:rsidRPr="00A32A8E" w:rsidRDefault="00A32A8E" w:rsidP="00A32A8E">
      <w:pPr>
        <w:numPr>
          <w:ilvl w:val="0"/>
          <w:numId w:val="2"/>
        </w:numPr>
      </w:pPr>
      <w:r w:rsidRPr="00A32A8E">
        <w:rPr>
          <w:b/>
          <w:bCs/>
        </w:rPr>
        <w:t>Clean claim rate</w:t>
      </w:r>
      <w:r w:rsidRPr="00A32A8E">
        <w:t xml:space="preserve"> – Aim for 95% or higher</w:t>
      </w:r>
    </w:p>
    <w:p w14:paraId="578B7539" w14:textId="77777777" w:rsidR="00A32A8E" w:rsidRPr="00A32A8E" w:rsidRDefault="00A32A8E" w:rsidP="00A32A8E">
      <w:pPr>
        <w:numPr>
          <w:ilvl w:val="0"/>
          <w:numId w:val="2"/>
        </w:numPr>
      </w:pPr>
      <w:r w:rsidRPr="00A32A8E">
        <w:rPr>
          <w:b/>
          <w:bCs/>
        </w:rPr>
        <w:t>Denial rate</w:t>
      </w:r>
      <w:r w:rsidRPr="00A32A8E">
        <w:t xml:space="preserve"> – Keep it under 5%</w:t>
      </w:r>
    </w:p>
    <w:p w14:paraId="1C1CF68F" w14:textId="77777777" w:rsidR="00A32A8E" w:rsidRPr="00A32A8E" w:rsidRDefault="00A32A8E" w:rsidP="00A32A8E">
      <w:pPr>
        <w:numPr>
          <w:ilvl w:val="0"/>
          <w:numId w:val="2"/>
        </w:numPr>
      </w:pPr>
      <w:r w:rsidRPr="00A32A8E">
        <w:rPr>
          <w:b/>
          <w:bCs/>
        </w:rPr>
        <w:t>Days in A/R</w:t>
      </w:r>
      <w:r w:rsidRPr="00A32A8E">
        <w:t xml:space="preserve"> – Target under 30 days</w:t>
      </w:r>
    </w:p>
    <w:p w14:paraId="1E2B802D" w14:textId="77777777" w:rsidR="00A32A8E" w:rsidRPr="00A32A8E" w:rsidRDefault="00A32A8E" w:rsidP="00A32A8E">
      <w:pPr>
        <w:numPr>
          <w:ilvl w:val="0"/>
          <w:numId w:val="2"/>
        </w:numPr>
      </w:pPr>
      <w:r w:rsidRPr="00A32A8E">
        <w:rPr>
          <w:b/>
          <w:bCs/>
        </w:rPr>
        <w:t>First-pass resolution rate</w:t>
      </w:r>
      <w:r w:rsidRPr="00A32A8E">
        <w:t xml:space="preserve"> – Higher is better</w:t>
      </w:r>
    </w:p>
    <w:p w14:paraId="2522355D" w14:textId="45239978" w:rsidR="00A32A8E" w:rsidRPr="00A32A8E" w:rsidRDefault="00A32A8E" w:rsidP="00A32A8E">
      <w:r w:rsidRPr="00A32A8E">
        <w:t>These numbers will help you identify whether delays are due to front-end processes, coding errors, or payer problems.</w:t>
      </w:r>
    </w:p>
    <w:p w14:paraId="2C6602C2" w14:textId="77777777" w:rsidR="00A32A8E" w:rsidRPr="00A32A8E" w:rsidRDefault="00A32A8E" w:rsidP="00A32A8E">
      <w:pPr>
        <w:pStyle w:val="Heading2"/>
      </w:pPr>
      <w:r w:rsidRPr="00A32A8E">
        <w:t>6. Educate Providers and Front Office Staff</w:t>
      </w:r>
    </w:p>
    <w:p w14:paraId="5A4995FA" w14:textId="27C8910A" w:rsidR="00A32A8E" w:rsidRPr="00A32A8E" w:rsidRDefault="00A32A8E" w:rsidP="00A32A8E">
      <w:r w:rsidRPr="00A32A8E">
        <w:t>Accurate billing begins at the point of care. Make sure providers understand documentation requirements and that front desk staff are trained on verifying insurance, collecting co-pays, and flagging authorizations. Regular training reduces bottlenecks and boosts claim success.</w:t>
      </w:r>
    </w:p>
    <w:p w14:paraId="540B8B6F" w14:textId="77777777" w:rsidR="00A32A8E" w:rsidRPr="00A32A8E" w:rsidRDefault="00A32A8E" w:rsidP="00A32A8E">
      <w:pPr>
        <w:pStyle w:val="Heading2"/>
      </w:pPr>
      <w:r w:rsidRPr="00A32A8E">
        <w:t>Final Thoughts</w:t>
      </w:r>
    </w:p>
    <w:p w14:paraId="0E6FD9F5" w14:textId="1EFC4611" w:rsidR="00A32A8E" w:rsidRPr="00A32A8E" w:rsidRDefault="00A32A8E" w:rsidP="00A32A8E">
      <w:r w:rsidRPr="00A32A8E">
        <w:t>For specialty clinics, medical billing isn’t one-size-fits-all. By leveraging specialty expertise, modern tools, and smarter processes, you can significantly reduce claim errors and accelerate payment cycles. In a healthcare environment where reimbursement is tight and patient expectations are high, billing efficiency is a competitive advantage.</w:t>
      </w:r>
    </w:p>
    <w:p w14:paraId="740941A6" w14:textId="77777777" w:rsidR="00A32A8E" w:rsidRPr="00A32A8E" w:rsidRDefault="00A32A8E" w:rsidP="00A32A8E">
      <w:r w:rsidRPr="00A32A8E">
        <w:rPr>
          <w:b/>
          <w:bCs/>
        </w:rPr>
        <w:t>#SpecialtyBilling #MedicalBilling #RCM #HealthcareFinance #MedicalCoding #PracticeManagement #BillingAccuracy #CardiologyBilling #DermatologyBilling #MentalHealthBilling #RevenueCycleManagement #CleanClaims #EHRIntegration #BillingBestPractices #HealthcareReimbursement</w:t>
      </w:r>
    </w:p>
    <w:p w14:paraId="096D721E" w14:textId="77777777" w:rsidR="00A32A8E" w:rsidRDefault="00A32A8E"/>
    <w:sectPr w:rsidR="00A32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97F64"/>
    <w:multiLevelType w:val="multilevel"/>
    <w:tmpl w:val="D526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628A2"/>
    <w:multiLevelType w:val="multilevel"/>
    <w:tmpl w:val="1E56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238933">
    <w:abstractNumId w:val="1"/>
  </w:num>
  <w:num w:numId="2" w16cid:durableId="97013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8E"/>
    <w:rsid w:val="00A32A8E"/>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F69C7"/>
  <w15:chartTrackingRefBased/>
  <w15:docId w15:val="{D1E0CD2B-041D-4132-A8C6-D141EEA7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2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2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A8E"/>
    <w:rPr>
      <w:rFonts w:eastAsiaTheme="majorEastAsia" w:cstheme="majorBidi"/>
      <w:color w:val="272727" w:themeColor="text1" w:themeTint="D8"/>
    </w:rPr>
  </w:style>
  <w:style w:type="paragraph" w:styleId="Title">
    <w:name w:val="Title"/>
    <w:basedOn w:val="Normal"/>
    <w:next w:val="Normal"/>
    <w:link w:val="TitleChar"/>
    <w:uiPriority w:val="10"/>
    <w:qFormat/>
    <w:rsid w:val="00A32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A8E"/>
    <w:pPr>
      <w:spacing w:before="160"/>
      <w:jc w:val="center"/>
    </w:pPr>
    <w:rPr>
      <w:i/>
      <w:iCs/>
      <w:color w:val="404040" w:themeColor="text1" w:themeTint="BF"/>
    </w:rPr>
  </w:style>
  <w:style w:type="character" w:customStyle="1" w:styleId="QuoteChar">
    <w:name w:val="Quote Char"/>
    <w:basedOn w:val="DefaultParagraphFont"/>
    <w:link w:val="Quote"/>
    <w:uiPriority w:val="29"/>
    <w:rsid w:val="00A32A8E"/>
    <w:rPr>
      <w:i/>
      <w:iCs/>
      <w:color w:val="404040" w:themeColor="text1" w:themeTint="BF"/>
    </w:rPr>
  </w:style>
  <w:style w:type="paragraph" w:styleId="ListParagraph">
    <w:name w:val="List Paragraph"/>
    <w:basedOn w:val="Normal"/>
    <w:uiPriority w:val="34"/>
    <w:qFormat/>
    <w:rsid w:val="00A32A8E"/>
    <w:pPr>
      <w:ind w:left="720"/>
      <w:contextualSpacing/>
    </w:pPr>
  </w:style>
  <w:style w:type="character" w:styleId="IntenseEmphasis">
    <w:name w:val="Intense Emphasis"/>
    <w:basedOn w:val="DefaultParagraphFont"/>
    <w:uiPriority w:val="21"/>
    <w:qFormat/>
    <w:rsid w:val="00A32A8E"/>
    <w:rPr>
      <w:i/>
      <w:iCs/>
      <w:color w:val="0F4761" w:themeColor="accent1" w:themeShade="BF"/>
    </w:rPr>
  </w:style>
  <w:style w:type="paragraph" w:styleId="IntenseQuote">
    <w:name w:val="Intense Quote"/>
    <w:basedOn w:val="Normal"/>
    <w:next w:val="Normal"/>
    <w:link w:val="IntenseQuoteChar"/>
    <w:uiPriority w:val="30"/>
    <w:qFormat/>
    <w:rsid w:val="00A32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A8E"/>
    <w:rPr>
      <w:i/>
      <w:iCs/>
      <w:color w:val="0F4761" w:themeColor="accent1" w:themeShade="BF"/>
    </w:rPr>
  </w:style>
  <w:style w:type="character" w:styleId="IntenseReference">
    <w:name w:val="Intense Reference"/>
    <w:basedOn w:val="DefaultParagraphFont"/>
    <w:uiPriority w:val="32"/>
    <w:qFormat/>
    <w:rsid w:val="00A32A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693076">
      <w:bodyDiv w:val="1"/>
      <w:marLeft w:val="0"/>
      <w:marRight w:val="0"/>
      <w:marTop w:val="0"/>
      <w:marBottom w:val="0"/>
      <w:divBdr>
        <w:top w:val="none" w:sz="0" w:space="0" w:color="auto"/>
        <w:left w:val="none" w:sz="0" w:space="0" w:color="auto"/>
        <w:bottom w:val="none" w:sz="0" w:space="0" w:color="auto"/>
        <w:right w:val="none" w:sz="0" w:space="0" w:color="auto"/>
      </w:divBdr>
    </w:div>
    <w:div w:id="214665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3021</Characters>
  <Application>Microsoft Office Word</Application>
  <DocSecurity>0</DocSecurity>
  <Lines>59</Lines>
  <Paragraphs>34</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2025-04-20T22:18:00Z</dcterms:created>
  <dcterms:modified xsi:type="dcterms:W3CDTF">2025-04-20T22:31:00Z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65cb9013-9d3d-463d-9fb1-573241759a7a</vt:lpwstr>
  </property>
</Properties>
</file>