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D8A40" w14:textId="2DC329CB" w:rsidR="00EA41F9" w:rsidRPr="00EA41F9" w:rsidRDefault="00EA41F9" w:rsidP="000234D2">
      <w:pPr>
        <w:pStyle w:val="Heading1"/>
      </w:pPr>
      <w:r w:rsidRPr="00EA41F9">
        <w:t>Leading an Enterprise Cybersecurity Program: What the Program Manager Actually Owns</w:t>
      </w:r>
    </w:p>
    <w:p w14:paraId="5DFA3ECF" w14:textId="7F2EE1E8" w:rsidR="00EA41F9" w:rsidRPr="00EA41F9" w:rsidRDefault="00EA41F9" w:rsidP="00EA41F9">
      <w:r w:rsidRPr="00EA41F9">
        <w:t xml:space="preserve">An enterprise cybersecurity program brings together teams with different priorities. Security wants to reduce exposure. Infrastructure needs stable services. Application owners need business workflows to remain available. Executives need evidence that the investment </w:t>
      </w:r>
      <w:proofErr w:type="gramStart"/>
      <w:r w:rsidRPr="00EA41F9">
        <w:t>is producing</w:t>
      </w:r>
      <w:proofErr w:type="gramEnd"/>
      <w:r w:rsidRPr="00EA41F9">
        <w:t xml:space="preserve"> results.</w:t>
      </w:r>
    </w:p>
    <w:p w14:paraId="6448629A" w14:textId="77777777" w:rsidR="00EA41F9" w:rsidRPr="00EA41F9" w:rsidRDefault="00EA41F9" w:rsidP="00EA41F9">
      <w:r w:rsidRPr="00EA41F9">
        <w:t>The program manager turns those priorities into an executable plan with clear ownership and decision authority.</w:t>
      </w:r>
    </w:p>
    <w:p w14:paraId="47FB968C" w14:textId="77777777" w:rsidR="00EA41F9" w:rsidRDefault="00EA41F9" w:rsidP="00EA41F9">
      <w:r w:rsidRPr="00EA41F9">
        <w:t xml:space="preserve">NIST’s Cybersecurity Framework 2.0 emphasizes establishing cybersecurity responsibilities, authorities, policies, and oversight. That makes governance part of the security effort itself. </w:t>
      </w:r>
      <w:hyperlink r:id="rId5" w:history="1">
        <w:r w:rsidRPr="00EA41F9">
          <w:rPr>
            <w:rStyle w:val="Hyperlink"/>
          </w:rPr>
          <w:t>NIST</w:t>
        </w:r>
      </w:hyperlink>
    </w:p>
    <w:p w14:paraId="14AFAFCA" w14:textId="77777777" w:rsidR="000234D2" w:rsidRPr="000234D2" w:rsidRDefault="000234D2" w:rsidP="000234D2">
      <w:pPr>
        <w:pStyle w:val="Heading2"/>
      </w:pPr>
      <w:r w:rsidRPr="000234D2">
        <w:t>Competing Priorities, One Coherent Plan</w:t>
      </w:r>
    </w:p>
    <w:p w14:paraId="32F79A8C" w14:textId="77777777" w:rsidR="000234D2" w:rsidRPr="000234D2" w:rsidRDefault="000234D2" w:rsidP="000234D2">
      <w:r w:rsidRPr="000234D2">
        <w:t>Every stakeholder in an enterprise cybersecurity program brings a legitimate but distinct agenda. The program manager's job is to hold all of them in balance and translate competing priorities into an executable plan with clear ownership.</w:t>
      </w:r>
    </w:p>
    <w:p w14:paraId="41A7F376" w14:textId="368F4863" w:rsidR="000234D2" w:rsidRDefault="000234D2" w:rsidP="00EA41F9">
      <w:r>
        <w:rPr>
          <w:noProof/>
        </w:rPr>
        <w:drawing>
          <wp:inline distT="0" distB="0" distL="0" distR="0" wp14:anchorId="31D8CCB7" wp14:editId="56AE049D">
            <wp:extent cx="5943600" cy="2097405"/>
            <wp:effectExtent l="0" t="0" r="0" b="0"/>
            <wp:docPr id="203571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71355" name="Picture 203571355"/>
                    <pic:cNvPicPr/>
                  </pic:nvPicPr>
                  <pic:blipFill>
                    <a:blip r:embed="rId6">
                      <a:extLst>
                        <a:ext uri="{28A0092B-C50C-407E-A947-70E740481C1C}">
                          <a14:useLocalDpi xmlns:a14="http://schemas.microsoft.com/office/drawing/2010/main" val="0"/>
                        </a:ext>
                      </a:extLst>
                    </a:blip>
                    <a:stretch>
                      <a:fillRect/>
                    </a:stretch>
                  </pic:blipFill>
                  <pic:spPr>
                    <a:xfrm>
                      <a:off x="0" y="0"/>
                      <a:ext cx="5943600" cy="2097405"/>
                    </a:xfrm>
                    <a:prstGeom prst="rect">
                      <a:avLst/>
                    </a:prstGeom>
                  </pic:spPr>
                </pic:pic>
              </a:graphicData>
            </a:graphic>
          </wp:inline>
        </w:drawing>
      </w:r>
    </w:p>
    <w:p w14:paraId="1A8AE88C" w14:textId="77777777" w:rsidR="000234D2" w:rsidRPr="000234D2" w:rsidRDefault="000234D2" w:rsidP="000234D2">
      <w:pPr>
        <w:pStyle w:val="Heading2"/>
      </w:pPr>
      <w:r w:rsidRPr="000234D2">
        <w:t>Governance Is Part of the Security Effort</w:t>
      </w:r>
    </w:p>
    <w:p w14:paraId="5E07F1B0" w14:textId="77777777" w:rsidR="000234D2" w:rsidRPr="000234D2" w:rsidRDefault="000234D2" w:rsidP="000234D2">
      <w:r w:rsidRPr="000234D2">
        <w:t>NIST's Cybersecurity Framework 2.0 explicitly emphasizes establishing cybersecurity responsibilities, authorities, policies, and oversight. Governance is not an administrative formality — it is a core security discipline</w:t>
      </w:r>
    </w:p>
    <w:p w14:paraId="71CFDAEE" w14:textId="77777777" w:rsidR="000234D2" w:rsidRPr="000234D2" w:rsidRDefault="000234D2" w:rsidP="000234D2">
      <w:pPr>
        <w:pStyle w:val="Heading3"/>
      </w:pPr>
      <w:r w:rsidRPr="000234D2">
        <w:t>What CSF 2.0 Requires</w:t>
      </w:r>
    </w:p>
    <w:p w14:paraId="4E0ECF2D" w14:textId="77777777" w:rsidR="000234D2" w:rsidRPr="000234D2" w:rsidRDefault="000234D2" w:rsidP="000234D2">
      <w:pPr>
        <w:numPr>
          <w:ilvl w:val="0"/>
          <w:numId w:val="2"/>
        </w:numPr>
      </w:pPr>
      <w:r w:rsidRPr="000234D2">
        <w:t>Defined cybersecurity responsibilities at every level</w:t>
      </w:r>
    </w:p>
    <w:p w14:paraId="292ECEC9" w14:textId="77777777" w:rsidR="000234D2" w:rsidRPr="000234D2" w:rsidRDefault="000234D2" w:rsidP="000234D2">
      <w:pPr>
        <w:numPr>
          <w:ilvl w:val="0"/>
          <w:numId w:val="2"/>
        </w:numPr>
      </w:pPr>
      <w:r w:rsidRPr="000234D2">
        <w:lastRenderedPageBreak/>
        <w:t>Clear authority structures for security decisions</w:t>
      </w:r>
    </w:p>
    <w:p w14:paraId="03BFBBE8" w14:textId="77777777" w:rsidR="000234D2" w:rsidRPr="000234D2" w:rsidRDefault="000234D2" w:rsidP="000234D2">
      <w:pPr>
        <w:numPr>
          <w:ilvl w:val="0"/>
          <w:numId w:val="2"/>
        </w:numPr>
      </w:pPr>
      <w:r w:rsidRPr="000234D2">
        <w:t>Formal policies that reflect organizational risk tolerance</w:t>
      </w:r>
    </w:p>
    <w:p w14:paraId="6D986050" w14:textId="77777777" w:rsidR="000234D2" w:rsidRPr="000234D2" w:rsidRDefault="000234D2" w:rsidP="000234D2">
      <w:pPr>
        <w:numPr>
          <w:ilvl w:val="0"/>
          <w:numId w:val="2"/>
        </w:numPr>
      </w:pPr>
      <w:r w:rsidRPr="000234D2">
        <w:t>Ongoing oversight mechanisms with accountability</w:t>
      </w:r>
    </w:p>
    <w:p w14:paraId="09B3BD46" w14:textId="77777777" w:rsidR="000234D2" w:rsidRPr="000234D2" w:rsidRDefault="000234D2" w:rsidP="000234D2">
      <w:pPr>
        <w:pStyle w:val="Heading3"/>
      </w:pPr>
      <w:proofErr w:type="gramStart"/>
      <w:r w:rsidRPr="000234D2">
        <w:t>What This</w:t>
      </w:r>
      <w:proofErr w:type="gramEnd"/>
      <w:r w:rsidRPr="000234D2">
        <w:t xml:space="preserve"> Means for the PM</w:t>
      </w:r>
    </w:p>
    <w:p w14:paraId="4F70E299" w14:textId="77777777" w:rsidR="000234D2" w:rsidRPr="000234D2" w:rsidRDefault="000234D2" w:rsidP="000234D2">
      <w:r w:rsidRPr="000234D2">
        <w:t>The program manager does not simply track task completion. Under CSF 2.0 governance expectations, the PM is responsible for ensuring the right roles hold the right authorities — and that those authorities are exercised at the right moments in the delivery lifecycle.</w:t>
      </w:r>
    </w:p>
    <w:p w14:paraId="19CB4238" w14:textId="77777777" w:rsidR="00EA41F9" w:rsidRPr="00EA41F9" w:rsidRDefault="00EA41F9" w:rsidP="000234D2">
      <w:pPr>
        <w:pStyle w:val="Heading2"/>
      </w:pPr>
      <w:r w:rsidRPr="00EA41F9">
        <w:t>Establish ownership before committing to delivery</w:t>
      </w:r>
    </w:p>
    <w:p w14:paraId="5A68091E" w14:textId="77777777" w:rsidR="000234D2" w:rsidRPr="000234D2" w:rsidRDefault="000234D2" w:rsidP="000234D2">
      <w:r w:rsidRPr="000234D2">
        <w:t>Before the program makes commitments on scope, schedule, or cost, every accountability must be assigned to a named role. The structure below is a practical starting point — exact titles vary by organization, but the accountabilities are consistent.</w:t>
      </w:r>
    </w:p>
    <w:p w14:paraId="64329A4A" w14:textId="77777777" w:rsidR="000234D2" w:rsidRPr="000234D2" w:rsidRDefault="000234D2" w:rsidP="000234D2">
      <w:r w:rsidRPr="000234D2">
        <w:t>A program manager can coordinate a risk decision but cannot substitute for the authority delegated to the authorized risk owner.</w:t>
      </w:r>
    </w:p>
    <w:p w14:paraId="25B80B27" w14:textId="0A99DE21" w:rsidR="00EA41F9" w:rsidRPr="00EA41F9" w:rsidRDefault="00EA41F9" w:rsidP="00EA41F9">
      <w:r w:rsidRPr="00EA41F9">
        <w:t>The exact structure varies by organization, but this is a useful starting point: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13"/>
        <w:gridCol w:w="6647"/>
      </w:tblGrid>
      <w:tr w:rsidR="00EA41F9" w:rsidRPr="00EA41F9" w14:paraId="433FC2A8" w14:textId="77777777">
        <w:trPr>
          <w:tblHeader/>
          <w:tblCellSpacing w:w="15" w:type="dxa"/>
        </w:trPr>
        <w:tc>
          <w:tcPr>
            <w:tcW w:w="0" w:type="auto"/>
            <w:vAlign w:val="center"/>
            <w:hideMark/>
          </w:tcPr>
          <w:p w14:paraId="2090A279" w14:textId="77777777" w:rsidR="00EA41F9" w:rsidRPr="00EA41F9" w:rsidRDefault="00EA41F9" w:rsidP="00EA41F9">
            <w:pPr>
              <w:rPr>
                <w:b/>
                <w:bCs/>
              </w:rPr>
            </w:pPr>
            <w:r w:rsidRPr="00EA41F9">
              <w:rPr>
                <w:b/>
                <w:bCs/>
              </w:rPr>
              <w:t>Role</w:t>
            </w:r>
          </w:p>
        </w:tc>
        <w:tc>
          <w:tcPr>
            <w:tcW w:w="0" w:type="auto"/>
            <w:vAlign w:val="center"/>
            <w:hideMark/>
          </w:tcPr>
          <w:p w14:paraId="67B5C47C" w14:textId="77777777" w:rsidR="00EA41F9" w:rsidRPr="00EA41F9" w:rsidRDefault="00EA41F9" w:rsidP="00EA41F9">
            <w:pPr>
              <w:rPr>
                <w:b/>
                <w:bCs/>
              </w:rPr>
            </w:pPr>
            <w:r w:rsidRPr="00EA41F9">
              <w:rPr>
                <w:b/>
                <w:bCs/>
              </w:rPr>
              <w:t>Typical accountability</w:t>
            </w:r>
          </w:p>
        </w:tc>
      </w:tr>
      <w:tr w:rsidR="00EA41F9" w:rsidRPr="00EA41F9" w14:paraId="392A9802" w14:textId="77777777">
        <w:trPr>
          <w:tblCellSpacing w:w="15" w:type="dxa"/>
        </w:trPr>
        <w:tc>
          <w:tcPr>
            <w:tcW w:w="0" w:type="auto"/>
            <w:vAlign w:val="center"/>
            <w:hideMark/>
          </w:tcPr>
          <w:p w14:paraId="001B794F" w14:textId="77777777" w:rsidR="00EA41F9" w:rsidRPr="00EA41F9" w:rsidRDefault="00EA41F9" w:rsidP="00EA41F9">
            <w:r w:rsidRPr="00EA41F9">
              <w:t>Executive sponsor</w:t>
            </w:r>
          </w:p>
        </w:tc>
        <w:tc>
          <w:tcPr>
            <w:tcW w:w="0" w:type="auto"/>
            <w:vAlign w:val="center"/>
            <w:hideMark/>
          </w:tcPr>
          <w:p w14:paraId="390969BF" w14:textId="77777777" w:rsidR="00EA41F9" w:rsidRPr="00EA41F9" w:rsidRDefault="00EA41F9" w:rsidP="00EA41F9">
            <w:r w:rsidRPr="00EA41F9">
              <w:t>Business objectives, funding, and organizational support</w:t>
            </w:r>
          </w:p>
        </w:tc>
      </w:tr>
      <w:tr w:rsidR="00EA41F9" w:rsidRPr="00EA41F9" w14:paraId="047F0CEA" w14:textId="77777777">
        <w:trPr>
          <w:tblCellSpacing w:w="15" w:type="dxa"/>
        </w:trPr>
        <w:tc>
          <w:tcPr>
            <w:tcW w:w="0" w:type="auto"/>
            <w:vAlign w:val="center"/>
            <w:hideMark/>
          </w:tcPr>
          <w:p w14:paraId="321661DD" w14:textId="77777777" w:rsidR="00EA41F9" w:rsidRPr="00EA41F9" w:rsidRDefault="00EA41F9" w:rsidP="00EA41F9">
            <w:r w:rsidRPr="00EA41F9">
              <w:t>Security architect</w:t>
            </w:r>
          </w:p>
        </w:tc>
        <w:tc>
          <w:tcPr>
            <w:tcW w:w="0" w:type="auto"/>
            <w:vAlign w:val="center"/>
            <w:hideMark/>
          </w:tcPr>
          <w:p w14:paraId="1FB52CA9" w14:textId="77777777" w:rsidR="00EA41F9" w:rsidRPr="00EA41F9" w:rsidRDefault="00EA41F9" w:rsidP="00EA41F9">
            <w:r w:rsidRPr="00EA41F9">
              <w:t>Security design and alignment with architecture standards</w:t>
            </w:r>
          </w:p>
        </w:tc>
      </w:tr>
      <w:tr w:rsidR="00EA41F9" w:rsidRPr="00EA41F9" w14:paraId="32A57D21" w14:textId="77777777">
        <w:trPr>
          <w:tblCellSpacing w:w="15" w:type="dxa"/>
        </w:trPr>
        <w:tc>
          <w:tcPr>
            <w:tcW w:w="0" w:type="auto"/>
            <w:vAlign w:val="center"/>
            <w:hideMark/>
          </w:tcPr>
          <w:p w14:paraId="191F255B" w14:textId="77777777" w:rsidR="00EA41F9" w:rsidRPr="00EA41F9" w:rsidRDefault="00EA41F9" w:rsidP="00EA41F9">
            <w:r w:rsidRPr="00EA41F9">
              <w:t>Engineering leads</w:t>
            </w:r>
          </w:p>
        </w:tc>
        <w:tc>
          <w:tcPr>
            <w:tcW w:w="0" w:type="auto"/>
            <w:vAlign w:val="center"/>
            <w:hideMark/>
          </w:tcPr>
          <w:p w14:paraId="5AE8DE50" w14:textId="77777777" w:rsidR="00EA41F9" w:rsidRPr="00EA41F9" w:rsidRDefault="00EA41F9" w:rsidP="00EA41F9">
            <w:r w:rsidRPr="00EA41F9">
              <w:t>Implementation, technical testing, and engineering estimates</w:t>
            </w:r>
          </w:p>
        </w:tc>
      </w:tr>
      <w:tr w:rsidR="00EA41F9" w:rsidRPr="00EA41F9" w14:paraId="6D4714B8" w14:textId="77777777">
        <w:trPr>
          <w:tblCellSpacing w:w="15" w:type="dxa"/>
        </w:trPr>
        <w:tc>
          <w:tcPr>
            <w:tcW w:w="0" w:type="auto"/>
            <w:vAlign w:val="center"/>
            <w:hideMark/>
          </w:tcPr>
          <w:p w14:paraId="11BE1B34" w14:textId="77777777" w:rsidR="00EA41F9" w:rsidRPr="00EA41F9" w:rsidRDefault="00EA41F9" w:rsidP="00EA41F9">
            <w:r w:rsidRPr="00EA41F9">
              <w:t>Application or service owner</w:t>
            </w:r>
          </w:p>
        </w:tc>
        <w:tc>
          <w:tcPr>
            <w:tcW w:w="0" w:type="auto"/>
            <w:vAlign w:val="center"/>
            <w:hideMark/>
          </w:tcPr>
          <w:p w14:paraId="452666EB" w14:textId="77777777" w:rsidR="00EA41F9" w:rsidRPr="00EA41F9" w:rsidRDefault="00EA41F9" w:rsidP="00EA41F9">
            <w:r w:rsidRPr="00EA41F9">
              <w:t>Business requirements and service validation</w:t>
            </w:r>
          </w:p>
        </w:tc>
      </w:tr>
      <w:tr w:rsidR="00EA41F9" w:rsidRPr="00EA41F9" w14:paraId="7CBEEB01" w14:textId="77777777">
        <w:trPr>
          <w:tblCellSpacing w:w="15" w:type="dxa"/>
        </w:trPr>
        <w:tc>
          <w:tcPr>
            <w:tcW w:w="0" w:type="auto"/>
            <w:vAlign w:val="center"/>
            <w:hideMark/>
          </w:tcPr>
          <w:p w14:paraId="5AF2BE65" w14:textId="77777777" w:rsidR="00EA41F9" w:rsidRPr="00EA41F9" w:rsidRDefault="00EA41F9" w:rsidP="00EA41F9">
            <w:r w:rsidRPr="00EA41F9">
              <w:t>Authorized risk owner</w:t>
            </w:r>
          </w:p>
        </w:tc>
        <w:tc>
          <w:tcPr>
            <w:tcW w:w="0" w:type="auto"/>
            <w:vAlign w:val="center"/>
            <w:hideMark/>
          </w:tcPr>
          <w:p w14:paraId="2D7F03BB" w14:textId="77777777" w:rsidR="00EA41F9" w:rsidRPr="00EA41F9" w:rsidRDefault="00EA41F9" w:rsidP="00EA41F9">
            <w:r w:rsidRPr="00EA41F9">
              <w:t>Acceptance of residual risk within delegated authority</w:t>
            </w:r>
          </w:p>
        </w:tc>
      </w:tr>
      <w:tr w:rsidR="00EA41F9" w:rsidRPr="00EA41F9" w14:paraId="1E1A6D82" w14:textId="77777777">
        <w:trPr>
          <w:tblCellSpacing w:w="15" w:type="dxa"/>
        </w:trPr>
        <w:tc>
          <w:tcPr>
            <w:tcW w:w="0" w:type="auto"/>
            <w:vAlign w:val="center"/>
            <w:hideMark/>
          </w:tcPr>
          <w:p w14:paraId="434A8FE8" w14:textId="77777777" w:rsidR="00EA41F9" w:rsidRPr="00EA41F9" w:rsidRDefault="00EA41F9" w:rsidP="00EA41F9">
            <w:r w:rsidRPr="00EA41F9">
              <w:t>Change authority</w:t>
            </w:r>
          </w:p>
        </w:tc>
        <w:tc>
          <w:tcPr>
            <w:tcW w:w="0" w:type="auto"/>
            <w:vAlign w:val="center"/>
            <w:hideMark/>
          </w:tcPr>
          <w:p w14:paraId="1E7F8B94" w14:textId="77777777" w:rsidR="00EA41F9" w:rsidRPr="00EA41F9" w:rsidRDefault="00EA41F9" w:rsidP="00EA41F9">
            <w:r w:rsidRPr="00EA41F9">
              <w:t>Production change authorization</w:t>
            </w:r>
          </w:p>
        </w:tc>
      </w:tr>
      <w:tr w:rsidR="00EA41F9" w:rsidRPr="00EA41F9" w14:paraId="0ABF00DB" w14:textId="77777777">
        <w:trPr>
          <w:tblCellSpacing w:w="15" w:type="dxa"/>
        </w:trPr>
        <w:tc>
          <w:tcPr>
            <w:tcW w:w="0" w:type="auto"/>
            <w:vAlign w:val="center"/>
            <w:hideMark/>
          </w:tcPr>
          <w:p w14:paraId="76E7C54D" w14:textId="77777777" w:rsidR="00EA41F9" w:rsidRPr="00EA41F9" w:rsidRDefault="00EA41F9" w:rsidP="00EA41F9">
            <w:r w:rsidRPr="00EA41F9">
              <w:t>Program manager</w:t>
            </w:r>
          </w:p>
        </w:tc>
        <w:tc>
          <w:tcPr>
            <w:tcW w:w="0" w:type="auto"/>
            <w:vAlign w:val="center"/>
            <w:hideMark/>
          </w:tcPr>
          <w:p w14:paraId="34891A34" w14:textId="77777777" w:rsidR="00EA41F9" w:rsidRPr="00EA41F9" w:rsidRDefault="00EA41F9" w:rsidP="00EA41F9">
            <w:r w:rsidRPr="00EA41F9">
              <w:t>Integrated delivery, dependencies, governance, financials, and escalation</w:t>
            </w:r>
          </w:p>
        </w:tc>
      </w:tr>
    </w:tbl>
    <w:p w14:paraId="5C907B5E" w14:textId="77777777" w:rsidR="00EA41F9" w:rsidRPr="00EA41F9" w:rsidRDefault="00EA41F9" w:rsidP="00EA41F9">
      <w:r w:rsidRPr="00EA41F9">
        <w:t>A program manager can coordinate a risk decision without having authority to accept that risk.</w:t>
      </w:r>
    </w:p>
    <w:p w14:paraId="2DD9ACA0" w14:textId="77777777" w:rsidR="00EA41F9" w:rsidRPr="00EA41F9" w:rsidRDefault="00EA41F9" w:rsidP="000234D2">
      <w:pPr>
        <w:pStyle w:val="Heading2"/>
      </w:pPr>
      <w:r w:rsidRPr="00EA41F9">
        <w:lastRenderedPageBreak/>
        <w:t>Own the connections between workstreams</w:t>
      </w:r>
    </w:p>
    <w:p w14:paraId="514C46CF" w14:textId="77777777" w:rsidR="000234D2" w:rsidRPr="000234D2" w:rsidRDefault="000234D2" w:rsidP="000234D2">
      <w:r w:rsidRPr="000234D2">
        <w:t>Individual teams will report progress against their own plans. But integrated readiness is a different question, and it belongs to the program manager.</w:t>
      </w:r>
    </w:p>
    <w:p w14:paraId="76454851" w14:textId="77777777" w:rsidR="000234D2" w:rsidRPr="000234D2" w:rsidRDefault="000234D2" w:rsidP="000234D2">
      <w:r w:rsidRPr="000234D2">
        <w:t>Suppose the network team is ready to restrict communication to a financial application. The application team has not tested its month-end interfaces, and infrastructure has not validated recovery access.</w:t>
      </w:r>
    </w:p>
    <w:p w14:paraId="5AF43273" w14:textId="77777777" w:rsidR="000234D2" w:rsidRPr="000234D2" w:rsidRDefault="000234D2" w:rsidP="000234D2">
      <w:r w:rsidRPr="000234D2">
        <w:t>Each team may report progress, but the combined change is not ready.</w:t>
      </w:r>
    </w:p>
    <w:p w14:paraId="65405CB0" w14:textId="77777777" w:rsidR="000234D2" w:rsidRDefault="000234D2" w:rsidP="000234D2">
      <w:r w:rsidRPr="000234D2">
        <w:t>Your responsibility is to expose those dependencies, assign owners, and make the consequences visible before the change window.</w:t>
      </w:r>
    </w:p>
    <w:p w14:paraId="43AED9EB" w14:textId="3D6F2FBB" w:rsidR="000234D2" w:rsidRPr="000234D2" w:rsidRDefault="000234D2" w:rsidP="000234D2">
      <w:r>
        <w:rPr>
          <w:noProof/>
        </w:rPr>
        <w:drawing>
          <wp:inline distT="0" distB="0" distL="0" distR="0" wp14:anchorId="6D86FDEF" wp14:editId="341A37A0">
            <wp:extent cx="5943600" cy="1320800"/>
            <wp:effectExtent l="0" t="0" r="0" b="0"/>
            <wp:docPr id="10862309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230985" name="Picture 1086230985"/>
                    <pic:cNvPicPr/>
                  </pic:nvPicPr>
                  <pic:blipFill>
                    <a:blip r:embed="rId7">
                      <a:extLst>
                        <a:ext uri="{28A0092B-C50C-407E-A947-70E740481C1C}">
                          <a14:useLocalDpi xmlns:a14="http://schemas.microsoft.com/office/drawing/2010/main" val="0"/>
                        </a:ext>
                      </a:extLst>
                    </a:blip>
                    <a:stretch>
                      <a:fillRect/>
                    </a:stretch>
                  </pic:blipFill>
                  <pic:spPr>
                    <a:xfrm>
                      <a:off x="0" y="0"/>
                      <a:ext cx="5943600" cy="1320800"/>
                    </a:xfrm>
                    <a:prstGeom prst="rect">
                      <a:avLst/>
                    </a:prstGeom>
                  </pic:spPr>
                </pic:pic>
              </a:graphicData>
            </a:graphic>
          </wp:inline>
        </w:drawing>
      </w:r>
    </w:p>
    <w:p w14:paraId="6A70038E" w14:textId="77777777" w:rsidR="00EA41F9" w:rsidRPr="00EA41F9" w:rsidRDefault="00EA41F9" w:rsidP="000234D2">
      <w:pPr>
        <w:pStyle w:val="Heading2"/>
      </w:pPr>
      <w:r w:rsidRPr="00EA41F9">
        <w:t xml:space="preserve">Make </w:t>
      </w:r>
      <w:proofErr w:type="gramStart"/>
      <w:r w:rsidRPr="00EA41F9">
        <w:t>decisions concrete</w:t>
      </w:r>
      <w:proofErr w:type="gramEnd"/>
    </w:p>
    <w:p w14:paraId="66454204" w14:textId="77777777" w:rsidR="00EA41F9" w:rsidRPr="00EA41F9" w:rsidRDefault="00EA41F9" w:rsidP="00EA41F9">
      <w:r w:rsidRPr="00EA41F9">
        <w:t>When escalating an issue, provide:</w:t>
      </w:r>
    </w:p>
    <w:p w14:paraId="0A026EB8" w14:textId="77777777" w:rsidR="00EA41F9" w:rsidRPr="00EA41F9" w:rsidRDefault="00EA41F9" w:rsidP="00EA41F9">
      <w:pPr>
        <w:numPr>
          <w:ilvl w:val="0"/>
          <w:numId w:val="1"/>
        </w:numPr>
      </w:pPr>
      <w:r w:rsidRPr="00EA41F9">
        <w:t>The decision required and its deadline.</w:t>
      </w:r>
    </w:p>
    <w:p w14:paraId="1A5E4577" w14:textId="77777777" w:rsidR="00EA41F9" w:rsidRPr="00EA41F9" w:rsidRDefault="00EA41F9" w:rsidP="00EA41F9">
      <w:pPr>
        <w:numPr>
          <w:ilvl w:val="0"/>
          <w:numId w:val="1"/>
        </w:numPr>
      </w:pPr>
      <w:r w:rsidRPr="00EA41F9">
        <w:t>Available options.</w:t>
      </w:r>
    </w:p>
    <w:p w14:paraId="2D9B97AF" w14:textId="77777777" w:rsidR="00EA41F9" w:rsidRPr="00EA41F9" w:rsidRDefault="00EA41F9" w:rsidP="00EA41F9">
      <w:pPr>
        <w:numPr>
          <w:ilvl w:val="0"/>
          <w:numId w:val="1"/>
        </w:numPr>
      </w:pPr>
      <w:r w:rsidRPr="00EA41F9">
        <w:t>Security, operational, cost, and schedule implications.</w:t>
      </w:r>
    </w:p>
    <w:p w14:paraId="4516E9EB" w14:textId="77777777" w:rsidR="00EA41F9" w:rsidRPr="00EA41F9" w:rsidRDefault="00EA41F9" w:rsidP="00EA41F9">
      <w:pPr>
        <w:numPr>
          <w:ilvl w:val="0"/>
          <w:numId w:val="1"/>
        </w:numPr>
      </w:pPr>
      <w:r w:rsidRPr="00EA41F9">
        <w:t>Your recommendation.</w:t>
      </w:r>
    </w:p>
    <w:p w14:paraId="1B18B1F1" w14:textId="77777777" w:rsidR="00EA41F9" w:rsidRDefault="00EA41F9" w:rsidP="00EA41F9">
      <w:pPr>
        <w:numPr>
          <w:ilvl w:val="0"/>
          <w:numId w:val="1"/>
        </w:numPr>
      </w:pPr>
      <w:r w:rsidRPr="00EA41F9">
        <w:t>The person authorized to decide.</w:t>
      </w:r>
    </w:p>
    <w:p w14:paraId="2C1A852A" w14:textId="46BC92E5" w:rsidR="000234D2" w:rsidRDefault="000234D2" w:rsidP="000234D2">
      <w:r w:rsidRPr="000234D2">
        <w:t xml:space="preserve">Escalation is only effective when </w:t>
      </w:r>
      <w:proofErr w:type="gramStart"/>
      <w:r w:rsidRPr="000234D2">
        <w:t>decision-makers</w:t>
      </w:r>
      <w:proofErr w:type="gramEnd"/>
      <w:r w:rsidRPr="000234D2">
        <w:t xml:space="preserve"> receive the right information in the right format. Vague escalations produce delayed or uninformed decisions. Structure every escalation around five elements:</w:t>
      </w:r>
    </w:p>
    <w:p w14:paraId="282CC7CF" w14:textId="0DC18F1D" w:rsidR="000234D2" w:rsidRPr="00EA41F9" w:rsidRDefault="000234D2" w:rsidP="000234D2">
      <w:r>
        <w:rPr>
          <w:noProof/>
        </w:rPr>
        <w:lastRenderedPageBreak/>
        <w:drawing>
          <wp:inline distT="0" distB="0" distL="0" distR="0" wp14:anchorId="559C023B" wp14:editId="0F2DE204">
            <wp:extent cx="5943600" cy="1649730"/>
            <wp:effectExtent l="0" t="0" r="0" b="7620"/>
            <wp:docPr id="11240485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048573" name="Picture 1124048573"/>
                    <pic:cNvPicPr/>
                  </pic:nvPicPr>
                  <pic:blipFill>
                    <a:blip r:embed="rId8">
                      <a:extLst>
                        <a:ext uri="{28A0092B-C50C-407E-A947-70E740481C1C}">
                          <a14:useLocalDpi xmlns:a14="http://schemas.microsoft.com/office/drawing/2010/main" val="0"/>
                        </a:ext>
                      </a:extLst>
                    </a:blip>
                    <a:stretch>
                      <a:fillRect/>
                    </a:stretch>
                  </pic:blipFill>
                  <pic:spPr>
                    <a:xfrm>
                      <a:off x="0" y="0"/>
                      <a:ext cx="5943600" cy="1649730"/>
                    </a:xfrm>
                    <a:prstGeom prst="rect">
                      <a:avLst/>
                    </a:prstGeom>
                  </pic:spPr>
                </pic:pic>
              </a:graphicData>
            </a:graphic>
          </wp:inline>
        </w:drawing>
      </w:r>
    </w:p>
    <w:p w14:paraId="3F91CD3F" w14:textId="77777777" w:rsidR="000234D2" w:rsidRPr="000234D2" w:rsidRDefault="000234D2" w:rsidP="000234D2">
      <w:pPr>
        <w:rPr>
          <w:b/>
          <w:bCs/>
        </w:rPr>
      </w:pPr>
      <w:r w:rsidRPr="000234D2">
        <w:rPr>
          <w:b/>
          <w:bCs/>
        </w:rPr>
        <w:t>An Escalation in Practice</w:t>
      </w:r>
    </w:p>
    <w:p w14:paraId="577BCA78" w14:textId="77777777" w:rsidR="000234D2" w:rsidRPr="000234D2" w:rsidRDefault="000234D2" w:rsidP="000234D2">
      <w:r w:rsidRPr="000234D2">
        <w:t>For example: “Proceeding Friday leaves the month-end interface unvalidated. I recommend moving this application to the next wave while releasing the other applications that meet readiness criteria.”</w:t>
      </w:r>
    </w:p>
    <w:p w14:paraId="43133C9A" w14:textId="77777777" w:rsidR="000234D2" w:rsidRPr="000234D2" w:rsidRDefault="000234D2" w:rsidP="000234D2">
      <w:r w:rsidRPr="000234D2">
        <w:t>This example demonstrates what a well-structured escalation looks like. It is specific about the risk, proposes a concrete path forward, and separates the application with the unresolved dependency from those that are cleared to proceed — protecting both the security program and business operations.</w:t>
      </w:r>
    </w:p>
    <w:p w14:paraId="0A892F7A" w14:textId="37490136" w:rsidR="000234D2" w:rsidRPr="00EA41F9" w:rsidRDefault="000234D2" w:rsidP="00EA41F9">
      <w:r>
        <w:rPr>
          <w:noProof/>
        </w:rPr>
        <w:drawing>
          <wp:inline distT="0" distB="0" distL="0" distR="0" wp14:anchorId="06C05654" wp14:editId="3BFDC4F6">
            <wp:extent cx="5943600" cy="735965"/>
            <wp:effectExtent l="0" t="0" r="0" b="6985"/>
            <wp:docPr id="7704739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473939" name="Picture 770473939"/>
                    <pic:cNvPicPr/>
                  </pic:nvPicPr>
                  <pic:blipFill>
                    <a:blip r:embed="rId9">
                      <a:extLst>
                        <a:ext uri="{28A0092B-C50C-407E-A947-70E740481C1C}">
                          <a14:useLocalDpi xmlns:a14="http://schemas.microsoft.com/office/drawing/2010/main" val="0"/>
                        </a:ext>
                      </a:extLst>
                    </a:blip>
                    <a:stretch>
                      <a:fillRect/>
                    </a:stretch>
                  </pic:blipFill>
                  <pic:spPr>
                    <a:xfrm>
                      <a:off x="0" y="0"/>
                      <a:ext cx="5943600" cy="735965"/>
                    </a:xfrm>
                    <a:prstGeom prst="rect">
                      <a:avLst/>
                    </a:prstGeom>
                  </pic:spPr>
                </pic:pic>
              </a:graphicData>
            </a:graphic>
          </wp:inline>
        </w:drawing>
      </w:r>
    </w:p>
    <w:p w14:paraId="4D5DE781" w14:textId="77777777" w:rsidR="00EA41F9" w:rsidRPr="00EA41F9" w:rsidRDefault="00EA41F9" w:rsidP="000234D2">
      <w:pPr>
        <w:pStyle w:val="Heading3"/>
      </w:pPr>
      <w:r w:rsidRPr="00EA41F9">
        <w:t>Questions to ask</w:t>
      </w:r>
    </w:p>
    <w:p w14:paraId="4CB725AF" w14:textId="77777777" w:rsidR="000234D2" w:rsidRPr="000234D2" w:rsidRDefault="000234D2" w:rsidP="000234D2">
      <w:r w:rsidRPr="000234D2">
        <w:t>At any point in the program lifecycle, the program manager should have clear, documented answers to these four governance questions. If any answer is "unclear" or "TBD," that is a program risk — not an open action item.</w:t>
      </w:r>
    </w:p>
    <w:p w14:paraId="292D7D86" w14:textId="77777777" w:rsidR="000234D2" w:rsidRPr="000234D2" w:rsidRDefault="000234D2" w:rsidP="000234D2">
      <w:pPr>
        <w:numPr>
          <w:ilvl w:val="0"/>
          <w:numId w:val="3"/>
        </w:numPr>
      </w:pPr>
      <w:r w:rsidRPr="000234D2">
        <w:t>Who approves the design?</w:t>
      </w:r>
    </w:p>
    <w:p w14:paraId="51353414" w14:textId="77777777" w:rsidR="000234D2" w:rsidRPr="000234D2" w:rsidRDefault="000234D2" w:rsidP="000234D2">
      <w:pPr>
        <w:numPr>
          <w:ilvl w:val="0"/>
          <w:numId w:val="3"/>
        </w:numPr>
      </w:pPr>
      <w:r w:rsidRPr="000234D2">
        <w:t>Who validates the business service?</w:t>
      </w:r>
    </w:p>
    <w:p w14:paraId="011BB82A" w14:textId="77777777" w:rsidR="000234D2" w:rsidRPr="000234D2" w:rsidRDefault="000234D2" w:rsidP="000234D2">
      <w:pPr>
        <w:numPr>
          <w:ilvl w:val="0"/>
          <w:numId w:val="3"/>
        </w:numPr>
      </w:pPr>
      <w:r w:rsidRPr="000234D2">
        <w:t>Who accepts remaining risk?</w:t>
      </w:r>
    </w:p>
    <w:p w14:paraId="1F74CF05" w14:textId="77777777" w:rsidR="000234D2" w:rsidRPr="000234D2" w:rsidRDefault="000234D2" w:rsidP="000234D2">
      <w:pPr>
        <w:numPr>
          <w:ilvl w:val="0"/>
          <w:numId w:val="3"/>
        </w:numPr>
      </w:pPr>
      <w:r w:rsidRPr="000234D2">
        <w:t>Who can stop the cutover?</w:t>
      </w:r>
    </w:p>
    <w:p w14:paraId="5F36A94A" w14:textId="77777777" w:rsidR="000234D2" w:rsidRDefault="000234D2" w:rsidP="000234D2">
      <w:r w:rsidRPr="000234D2">
        <w:t xml:space="preserve"> “I own the integrated delivery process and make sure </w:t>
      </w:r>
      <w:proofErr w:type="gramStart"/>
      <w:r w:rsidRPr="000234D2">
        <w:t>technical</w:t>
      </w:r>
      <w:proofErr w:type="gramEnd"/>
      <w:r w:rsidRPr="000234D2">
        <w:t xml:space="preserve"> and business decisions reach the right authority with enough evidence to act.”</w:t>
      </w:r>
    </w:p>
    <w:p w14:paraId="259D83D1" w14:textId="1742B328" w:rsidR="000234D2" w:rsidRDefault="000234D2" w:rsidP="000234D2">
      <w:r>
        <w:rPr>
          <w:noProof/>
        </w:rPr>
        <w:lastRenderedPageBreak/>
        <w:drawing>
          <wp:inline distT="0" distB="0" distL="0" distR="0" wp14:anchorId="74DFB3C2" wp14:editId="0FAF4381">
            <wp:extent cx="5943600" cy="2359660"/>
            <wp:effectExtent l="0" t="0" r="0" b="2540"/>
            <wp:docPr id="2914185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18527" name="Picture 291418527"/>
                    <pic:cNvPicPr/>
                  </pic:nvPicPr>
                  <pic:blipFill>
                    <a:blip r:embed="rId10">
                      <a:extLst>
                        <a:ext uri="{28A0092B-C50C-407E-A947-70E740481C1C}">
                          <a14:useLocalDpi xmlns:a14="http://schemas.microsoft.com/office/drawing/2010/main" val="0"/>
                        </a:ext>
                      </a:extLst>
                    </a:blip>
                    <a:stretch>
                      <a:fillRect/>
                    </a:stretch>
                  </pic:blipFill>
                  <pic:spPr>
                    <a:xfrm>
                      <a:off x="0" y="0"/>
                      <a:ext cx="5943600" cy="2359660"/>
                    </a:xfrm>
                    <a:prstGeom prst="rect">
                      <a:avLst/>
                    </a:prstGeom>
                  </pic:spPr>
                </pic:pic>
              </a:graphicData>
            </a:graphic>
          </wp:inline>
        </w:drawing>
      </w:r>
    </w:p>
    <w:p w14:paraId="719F82BA" w14:textId="77777777" w:rsidR="000234D2" w:rsidRPr="000234D2" w:rsidRDefault="000234D2" w:rsidP="000234D2">
      <w:pPr>
        <w:pStyle w:val="Heading3"/>
      </w:pPr>
      <w:r w:rsidRPr="000234D2">
        <w:t>What "I Own This" Actually Means</w:t>
      </w:r>
    </w:p>
    <w:p w14:paraId="0F67004D" w14:textId="77777777" w:rsidR="000234D2" w:rsidRPr="000234D2" w:rsidRDefault="000234D2" w:rsidP="000234D2">
      <w:r w:rsidRPr="000234D2">
        <w:t>The program manager's ownership is integrative, not technical. It spans delivery, dependencies, governance, financials, and escalation — across every workstream simultaneously.</w:t>
      </w:r>
    </w:p>
    <w:p w14:paraId="6A5B2EA0" w14:textId="26CDA800" w:rsidR="000234D2" w:rsidRDefault="000234D2" w:rsidP="000234D2">
      <w:r>
        <w:rPr>
          <w:noProof/>
        </w:rPr>
        <w:drawing>
          <wp:inline distT="0" distB="0" distL="0" distR="0" wp14:anchorId="3AB2D15B" wp14:editId="1EBBB045">
            <wp:extent cx="5768840" cy="3467400"/>
            <wp:effectExtent l="0" t="0" r="3810" b="0"/>
            <wp:docPr id="20366879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687909" name="Picture 2036687909"/>
                    <pic:cNvPicPr/>
                  </pic:nvPicPr>
                  <pic:blipFill>
                    <a:blip r:embed="rId11">
                      <a:extLst>
                        <a:ext uri="{28A0092B-C50C-407E-A947-70E740481C1C}">
                          <a14:useLocalDpi xmlns:a14="http://schemas.microsoft.com/office/drawing/2010/main" val="0"/>
                        </a:ext>
                      </a:extLst>
                    </a:blip>
                    <a:stretch>
                      <a:fillRect/>
                    </a:stretch>
                  </pic:blipFill>
                  <pic:spPr>
                    <a:xfrm>
                      <a:off x="0" y="0"/>
                      <a:ext cx="5768840" cy="3467400"/>
                    </a:xfrm>
                    <a:prstGeom prst="rect">
                      <a:avLst/>
                    </a:prstGeom>
                  </pic:spPr>
                </pic:pic>
              </a:graphicData>
            </a:graphic>
          </wp:inline>
        </w:drawing>
      </w:r>
    </w:p>
    <w:p w14:paraId="002E1675" w14:textId="77777777" w:rsidR="000234D2" w:rsidRPr="000234D2" w:rsidRDefault="000234D2" w:rsidP="000234D2">
      <w:pPr>
        <w:pStyle w:val="Heading2"/>
      </w:pPr>
      <w:r w:rsidRPr="000234D2">
        <w:t>Key Takeaways for Enterprise Program Managers</w:t>
      </w:r>
    </w:p>
    <w:p w14:paraId="032046DF" w14:textId="77777777" w:rsidR="000234D2" w:rsidRDefault="000234D2" w:rsidP="000234D2">
      <w:r w:rsidRPr="000234D2">
        <w:t>Cybersecurity program management at enterprise scale is a governance discipline as much as a delivery discipline. These are the principles that separate effective PMs from coordinators.</w:t>
      </w:r>
    </w:p>
    <w:p w14:paraId="784ED58F" w14:textId="77777777" w:rsidR="000234D2" w:rsidRPr="000234D2" w:rsidRDefault="000234D2" w:rsidP="000234D2">
      <w:pPr>
        <w:pStyle w:val="Heading3"/>
      </w:pPr>
      <w:r w:rsidRPr="000234D2">
        <w:lastRenderedPageBreak/>
        <w:t>Establish accountability before making commitments</w:t>
      </w:r>
    </w:p>
    <w:p w14:paraId="0363B5E8" w14:textId="77777777" w:rsidR="000234D2" w:rsidRPr="000234D2" w:rsidRDefault="000234D2" w:rsidP="000234D2">
      <w:r w:rsidRPr="000234D2">
        <w:t>Every role, authority, and decision right must be named before scope and schedule are locked. Gaps discovered mid-delivery become incidents.</w:t>
      </w:r>
    </w:p>
    <w:p w14:paraId="2190EB7F" w14:textId="77777777" w:rsidR="000234D2" w:rsidRPr="000234D2" w:rsidRDefault="000234D2" w:rsidP="000234D2">
      <w:pPr>
        <w:pStyle w:val="Heading3"/>
      </w:pPr>
      <w:r w:rsidRPr="000234D2">
        <w:t>Manage the integrations, not just the tasks</w:t>
      </w:r>
    </w:p>
    <w:p w14:paraId="4FA721CE" w14:textId="77777777" w:rsidR="000234D2" w:rsidRPr="000234D2" w:rsidRDefault="000234D2" w:rsidP="000234D2">
      <w:r w:rsidRPr="000234D2">
        <w:t>Individual workstream progress does not equal combined readiness. The PM's unique value is seeing — and resolving — what no single team can see alone.</w:t>
      </w:r>
    </w:p>
    <w:p w14:paraId="0D90FA09" w14:textId="77777777" w:rsidR="000234D2" w:rsidRPr="000234D2" w:rsidRDefault="000234D2" w:rsidP="000234D2">
      <w:pPr>
        <w:pStyle w:val="Heading3"/>
      </w:pPr>
      <w:r w:rsidRPr="000234D2">
        <w:t>Escalate with structure and a recommendation</w:t>
      </w:r>
    </w:p>
    <w:p w14:paraId="0DD4E185" w14:textId="77777777" w:rsidR="000234D2" w:rsidRPr="000234D2" w:rsidRDefault="000234D2" w:rsidP="000234D2">
      <w:proofErr w:type="gramStart"/>
      <w:r w:rsidRPr="000234D2">
        <w:t>Decision-makers</w:t>
      </w:r>
      <w:proofErr w:type="gramEnd"/>
      <w:r w:rsidRPr="000234D2">
        <w:t xml:space="preserve"> need options, implications, deadlines, and a named authority — not status updates. Own the framing, not just the alert.</w:t>
      </w:r>
    </w:p>
    <w:p w14:paraId="174F1ABD" w14:textId="77777777" w:rsidR="000234D2" w:rsidRPr="000234D2" w:rsidRDefault="000234D2" w:rsidP="000234D2">
      <w:pPr>
        <w:pStyle w:val="Heading3"/>
      </w:pPr>
      <w:r w:rsidRPr="000234D2">
        <w:t>Know your interview answer</w:t>
      </w:r>
    </w:p>
    <w:p w14:paraId="50C18B9E" w14:textId="77777777" w:rsidR="000234D2" w:rsidRPr="000234D2" w:rsidRDefault="000234D2" w:rsidP="000234D2">
      <w:r w:rsidRPr="000234D2">
        <w:t xml:space="preserve">"I </w:t>
      </w:r>
      <w:proofErr w:type="gramStart"/>
      <w:r w:rsidRPr="000234D2">
        <w:t>own</w:t>
      </w:r>
      <w:proofErr w:type="gramEnd"/>
      <w:r w:rsidRPr="000234D2">
        <w:t xml:space="preserve"> the integrated delivery process and make sure </w:t>
      </w:r>
      <w:proofErr w:type="gramStart"/>
      <w:r w:rsidRPr="000234D2">
        <w:t>technical</w:t>
      </w:r>
      <w:proofErr w:type="gramEnd"/>
      <w:r w:rsidRPr="000234D2">
        <w:t xml:space="preserve"> and business decisions reach the right authority with enough evidence to act."</w:t>
      </w:r>
    </w:p>
    <w:p w14:paraId="64681BCC" w14:textId="77777777" w:rsidR="00EA41F9" w:rsidRPr="00BA4546" w:rsidRDefault="00EA41F9" w:rsidP="00EA41F9">
      <w:r w:rsidRPr="00BA4546">
        <w:pict w14:anchorId="1BA6ADD9">
          <v:rect id="_x0000_i1025" style="width:0;height:1.5pt" o:hralign="center" o:hrstd="t" o:hr="t" fillcolor="#a0a0a0" stroked="f"/>
        </w:pict>
      </w:r>
    </w:p>
    <w:p w14:paraId="08FF4345" w14:textId="77777777" w:rsidR="00EA41F9" w:rsidRPr="00BA4546" w:rsidRDefault="00EA41F9" w:rsidP="00EA41F9">
      <w:pPr>
        <w:rPr>
          <w:b/>
          <w:bCs/>
        </w:rPr>
      </w:pPr>
      <w:r w:rsidRPr="00BA4546">
        <w:rPr>
          <w:b/>
          <w:bCs/>
        </w:rPr>
        <w:t>About the Author</w:t>
      </w:r>
    </w:p>
    <w:p w14:paraId="43C45F98" w14:textId="77777777" w:rsidR="00EA41F9" w:rsidRPr="00BA4546" w:rsidRDefault="00EA41F9" w:rsidP="00EA41F9">
      <w:r w:rsidRPr="00BA4546">
        <w:rPr>
          <w:b/>
          <w:bCs/>
        </w:rPr>
        <w:t>Kimberly Wiethoff, MBA, PMP, PMI-ACP</w:t>
      </w:r>
      <w:r w:rsidRPr="00BA4546">
        <w:t xml:space="preserve"> is a Senior Program Manager specializing in enterprise digital transformation, AI-enabled delivery, PMO leadership, and Agile program execution. Through </w:t>
      </w:r>
      <w:r w:rsidRPr="00BA4546">
        <w:rPr>
          <w:b/>
          <w:bCs/>
        </w:rPr>
        <w:t>Managing Projects the Agile Way</w:t>
      </w:r>
      <w:r w:rsidRPr="00BA4546">
        <w:t>, she shares practical strategies that help organizations modernize project delivery while preparing leaders for the future of AI-enabled program management.</w:t>
      </w:r>
    </w:p>
    <w:p w14:paraId="1F8B7F9E" w14:textId="77777777" w:rsidR="00EA41F9" w:rsidRDefault="00EA41F9"/>
    <w:sectPr w:rsidR="00EA41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848AE"/>
    <w:multiLevelType w:val="multilevel"/>
    <w:tmpl w:val="05FC0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F039BF"/>
    <w:multiLevelType w:val="multilevel"/>
    <w:tmpl w:val="48229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901B51"/>
    <w:multiLevelType w:val="multilevel"/>
    <w:tmpl w:val="59EC4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9173204">
    <w:abstractNumId w:val="2"/>
  </w:num>
  <w:num w:numId="2" w16cid:durableId="588275278">
    <w:abstractNumId w:val="0"/>
  </w:num>
  <w:num w:numId="3" w16cid:durableId="1053195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1F9"/>
    <w:rsid w:val="000234D2"/>
    <w:rsid w:val="000F7449"/>
    <w:rsid w:val="004364C2"/>
    <w:rsid w:val="00EA4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28AAD"/>
  <w15:chartTrackingRefBased/>
  <w15:docId w15:val="{F299B11B-0575-41FF-9EE7-A2F1263D4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41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A41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A41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41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41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41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41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41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41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1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A41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A41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41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41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41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41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41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41F9"/>
    <w:rPr>
      <w:rFonts w:eastAsiaTheme="majorEastAsia" w:cstheme="majorBidi"/>
      <w:color w:val="272727" w:themeColor="text1" w:themeTint="D8"/>
    </w:rPr>
  </w:style>
  <w:style w:type="paragraph" w:styleId="Title">
    <w:name w:val="Title"/>
    <w:basedOn w:val="Normal"/>
    <w:next w:val="Normal"/>
    <w:link w:val="TitleChar"/>
    <w:uiPriority w:val="10"/>
    <w:qFormat/>
    <w:rsid w:val="00EA41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41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41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41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41F9"/>
    <w:pPr>
      <w:spacing w:before="160"/>
      <w:jc w:val="center"/>
    </w:pPr>
    <w:rPr>
      <w:i/>
      <w:iCs/>
      <w:color w:val="404040" w:themeColor="text1" w:themeTint="BF"/>
    </w:rPr>
  </w:style>
  <w:style w:type="character" w:customStyle="1" w:styleId="QuoteChar">
    <w:name w:val="Quote Char"/>
    <w:basedOn w:val="DefaultParagraphFont"/>
    <w:link w:val="Quote"/>
    <w:uiPriority w:val="29"/>
    <w:rsid w:val="00EA41F9"/>
    <w:rPr>
      <w:i/>
      <w:iCs/>
      <w:color w:val="404040" w:themeColor="text1" w:themeTint="BF"/>
    </w:rPr>
  </w:style>
  <w:style w:type="paragraph" w:styleId="ListParagraph">
    <w:name w:val="List Paragraph"/>
    <w:basedOn w:val="Normal"/>
    <w:uiPriority w:val="34"/>
    <w:qFormat/>
    <w:rsid w:val="00EA41F9"/>
    <w:pPr>
      <w:ind w:left="720"/>
      <w:contextualSpacing/>
    </w:pPr>
  </w:style>
  <w:style w:type="character" w:styleId="IntenseEmphasis">
    <w:name w:val="Intense Emphasis"/>
    <w:basedOn w:val="DefaultParagraphFont"/>
    <w:uiPriority w:val="21"/>
    <w:qFormat/>
    <w:rsid w:val="00EA41F9"/>
    <w:rPr>
      <w:i/>
      <w:iCs/>
      <w:color w:val="0F4761" w:themeColor="accent1" w:themeShade="BF"/>
    </w:rPr>
  </w:style>
  <w:style w:type="paragraph" w:styleId="IntenseQuote">
    <w:name w:val="Intense Quote"/>
    <w:basedOn w:val="Normal"/>
    <w:next w:val="Normal"/>
    <w:link w:val="IntenseQuoteChar"/>
    <w:uiPriority w:val="30"/>
    <w:qFormat/>
    <w:rsid w:val="00EA41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41F9"/>
    <w:rPr>
      <w:i/>
      <w:iCs/>
      <w:color w:val="0F4761" w:themeColor="accent1" w:themeShade="BF"/>
    </w:rPr>
  </w:style>
  <w:style w:type="character" w:styleId="IntenseReference">
    <w:name w:val="Intense Reference"/>
    <w:basedOn w:val="DefaultParagraphFont"/>
    <w:uiPriority w:val="32"/>
    <w:qFormat/>
    <w:rsid w:val="00EA41F9"/>
    <w:rPr>
      <w:b/>
      <w:bCs/>
      <w:smallCaps/>
      <w:color w:val="0F4761" w:themeColor="accent1" w:themeShade="BF"/>
      <w:spacing w:val="5"/>
    </w:rPr>
  </w:style>
  <w:style w:type="character" w:styleId="Hyperlink">
    <w:name w:val="Hyperlink"/>
    <w:basedOn w:val="DefaultParagraphFont"/>
    <w:uiPriority w:val="99"/>
    <w:unhideWhenUsed/>
    <w:rsid w:val="00EA41F9"/>
    <w:rPr>
      <w:color w:val="467886" w:themeColor="hyperlink"/>
      <w:u w:val="single"/>
    </w:rPr>
  </w:style>
  <w:style w:type="character" w:styleId="UnresolvedMention">
    <w:name w:val="Unresolved Mention"/>
    <w:basedOn w:val="DefaultParagraphFont"/>
    <w:uiPriority w:val="99"/>
    <w:semiHidden/>
    <w:unhideWhenUsed/>
    <w:rsid w:val="00EA4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nist.gov/cyberframework/faqs?utm_source=chatgpt.co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99</TotalTime>
  <Pages>6</Pages>
  <Words>989</Words>
  <Characters>5639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Wiethoff</dc:creator>
  <cp:keywords/>
  <dc:description/>
  <cp:lastModifiedBy>Kimberly Wiethoff</cp:lastModifiedBy>
  <cp:revision>1</cp:revision>
  <dcterms:created xsi:type="dcterms:W3CDTF">2026-11-04T18:35:00Z</dcterms:created>
  <dcterms:modified xsi:type="dcterms:W3CDTF">2026-11-04T20:14:00Z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f26699bf-1b3f-4709-8a76-36d151137574</vt:lpwstr>
  </property>
</Properties>
</file>