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9C28" w14:textId="3A49335E" w:rsidR="00427CF5" w:rsidRDefault="00782561" w:rsidP="005005B5">
      <w:pPr>
        <w:pStyle w:val="Heading1"/>
      </w:pPr>
      <w:r w:rsidRPr="00782561">
        <w:t>HIPAA Compliance and Medical Billing</w:t>
      </w:r>
    </w:p>
    <w:p w14:paraId="5D53B86F" w14:textId="5448B9AA" w:rsidR="00782561" w:rsidRDefault="00782561" w:rsidP="00427CF5">
      <w:pPr>
        <w:pStyle w:val="Heading2"/>
      </w:pPr>
      <w:r w:rsidRPr="00782561">
        <w:t>What Your Practice Must Know</w:t>
      </w:r>
    </w:p>
    <w:p w14:paraId="1166770A" w14:textId="42D02505" w:rsidR="005005B5" w:rsidRPr="005005B5" w:rsidRDefault="005005B5" w:rsidP="00782561">
      <w:pPr>
        <w:rPr>
          <w:b/>
          <w:bCs/>
        </w:rPr>
      </w:pPr>
      <w:r w:rsidRPr="005005B5">
        <w:rPr>
          <w:b/>
          <w:bCs/>
        </w:rPr>
        <w:t>Published on 21 April 2025 at 13:46</w:t>
      </w:r>
    </w:p>
    <w:p w14:paraId="4ADB2C3B" w14:textId="499EEE0B" w:rsidR="005005B5" w:rsidRPr="00782561" w:rsidRDefault="005005B5" w:rsidP="00782561">
      <w:pPr>
        <w:rPr>
          <w:b/>
          <w:bCs/>
        </w:rPr>
      </w:pPr>
      <w:r w:rsidRPr="005005B5">
        <w:rPr>
          <w:b/>
          <w:bCs/>
        </w:rPr>
        <w:t>Author: Kimberly Wiethoff</w:t>
      </w:r>
    </w:p>
    <w:p w14:paraId="6FD768B1" w14:textId="77777777" w:rsidR="00782561" w:rsidRPr="00782561" w:rsidRDefault="00782561" w:rsidP="00782561">
      <w:r w:rsidRPr="00782561">
        <w:t xml:space="preserve">Medical billing isn’t just about submitting claims and collecting </w:t>
      </w:r>
      <w:proofErr w:type="gramStart"/>
      <w:r w:rsidRPr="00782561">
        <w:t>payments—</w:t>
      </w:r>
      <w:proofErr w:type="gramEnd"/>
      <w:r w:rsidRPr="00782561">
        <w:t xml:space="preserve">it’s also about protecting patient data. Every claim, statement, and eligibility check </w:t>
      </w:r>
      <w:proofErr w:type="gramStart"/>
      <w:r w:rsidRPr="00782561">
        <w:t>contains</w:t>
      </w:r>
      <w:proofErr w:type="gramEnd"/>
      <w:r w:rsidRPr="00782561">
        <w:t xml:space="preserve"> sensitive health information. That means your billing processes must comply with the Health Insurance Portability and Accountability Act (HIPAA) at every step.</w:t>
      </w:r>
    </w:p>
    <w:p w14:paraId="35D83D7F" w14:textId="77777777" w:rsidR="00782561" w:rsidRPr="00782561" w:rsidRDefault="00782561" w:rsidP="00782561">
      <w:r w:rsidRPr="00782561">
        <w:t>Whether you manage billing in-house or outsource to a third party, noncompliance can lead to hefty fines, legal consequences, and a loss of patient trust. Here's what your practice needs to know to stay HIPAA-compliant in 2025.</w:t>
      </w:r>
    </w:p>
    <w:p w14:paraId="1D6E87FB" w14:textId="77777777" w:rsidR="00782561" w:rsidRPr="00782561" w:rsidRDefault="00782561" w:rsidP="005005B5">
      <w:pPr>
        <w:pStyle w:val="Heading2"/>
      </w:pPr>
      <w:r w:rsidRPr="00782561">
        <w:t>1. Understand What HIPAA Protects</w:t>
      </w:r>
    </w:p>
    <w:p w14:paraId="34636E18" w14:textId="77777777" w:rsidR="00782561" w:rsidRPr="00782561" w:rsidRDefault="00782561" w:rsidP="00782561">
      <w:r w:rsidRPr="00782561">
        <w:t xml:space="preserve">HIPAA regulations are designed to protect </w:t>
      </w:r>
      <w:r w:rsidRPr="00782561">
        <w:rPr>
          <w:b/>
          <w:bCs/>
        </w:rPr>
        <w:t>Protected Health Information (PHI)</w:t>
      </w:r>
      <w:r w:rsidRPr="00782561">
        <w:t>, which includes:</w:t>
      </w:r>
    </w:p>
    <w:p w14:paraId="65835440" w14:textId="77777777" w:rsidR="00782561" w:rsidRPr="00782561" w:rsidRDefault="00782561" w:rsidP="00782561">
      <w:pPr>
        <w:numPr>
          <w:ilvl w:val="0"/>
          <w:numId w:val="1"/>
        </w:numPr>
      </w:pPr>
      <w:r w:rsidRPr="00782561">
        <w:t>Patient names, addresses, and birthdates</w:t>
      </w:r>
    </w:p>
    <w:p w14:paraId="7A440AAA" w14:textId="77777777" w:rsidR="00782561" w:rsidRPr="00782561" w:rsidRDefault="00782561" w:rsidP="00782561">
      <w:pPr>
        <w:numPr>
          <w:ilvl w:val="0"/>
          <w:numId w:val="1"/>
        </w:numPr>
      </w:pPr>
      <w:r w:rsidRPr="00782561">
        <w:t>Insurance information</w:t>
      </w:r>
    </w:p>
    <w:p w14:paraId="1F5A1FC9" w14:textId="77777777" w:rsidR="00782561" w:rsidRPr="00782561" w:rsidRDefault="00782561" w:rsidP="00782561">
      <w:pPr>
        <w:numPr>
          <w:ilvl w:val="0"/>
          <w:numId w:val="1"/>
        </w:numPr>
      </w:pPr>
      <w:r w:rsidRPr="00782561">
        <w:t>Medical diagnoses and treatments</w:t>
      </w:r>
    </w:p>
    <w:p w14:paraId="5F821797" w14:textId="77777777" w:rsidR="00782561" w:rsidRPr="00782561" w:rsidRDefault="00782561" w:rsidP="00782561">
      <w:pPr>
        <w:numPr>
          <w:ilvl w:val="0"/>
          <w:numId w:val="1"/>
        </w:numPr>
      </w:pPr>
      <w:r w:rsidRPr="00782561">
        <w:t>Billing records and payment history</w:t>
      </w:r>
    </w:p>
    <w:p w14:paraId="1CCFF731" w14:textId="77777777" w:rsidR="00782561" w:rsidRPr="00782561" w:rsidRDefault="00782561" w:rsidP="00782561">
      <w:r w:rsidRPr="00782561">
        <w:t>Every person who touches a patient’s medical or billing record must ensure PHI is secure—physically and electronically.</w:t>
      </w:r>
    </w:p>
    <w:p w14:paraId="5C88A4C2" w14:textId="77777777" w:rsidR="00782561" w:rsidRPr="00782561" w:rsidRDefault="00782561" w:rsidP="005005B5">
      <w:pPr>
        <w:pStyle w:val="Heading2"/>
      </w:pPr>
      <w:r w:rsidRPr="00782561">
        <w:t>2. Secure Your Systems and Data</w:t>
      </w:r>
    </w:p>
    <w:p w14:paraId="012582B8" w14:textId="77777777" w:rsidR="00782561" w:rsidRPr="00782561" w:rsidRDefault="00782561" w:rsidP="00782561">
      <w:r w:rsidRPr="00782561">
        <w:t>Whether you're storing records in an EHR or transmitting claims through a clearinghouse, data security is non-negotiable. Make sure you have:</w:t>
      </w:r>
    </w:p>
    <w:p w14:paraId="171470F6" w14:textId="77777777" w:rsidR="00782561" w:rsidRPr="00782561" w:rsidRDefault="00782561" w:rsidP="00782561">
      <w:pPr>
        <w:numPr>
          <w:ilvl w:val="0"/>
          <w:numId w:val="2"/>
        </w:numPr>
      </w:pPr>
      <w:r w:rsidRPr="00782561">
        <w:rPr>
          <w:b/>
          <w:bCs/>
        </w:rPr>
        <w:t>Encrypted data transmission</w:t>
      </w:r>
    </w:p>
    <w:p w14:paraId="063E55FA" w14:textId="77777777" w:rsidR="00782561" w:rsidRPr="00782561" w:rsidRDefault="00782561" w:rsidP="00782561">
      <w:pPr>
        <w:numPr>
          <w:ilvl w:val="0"/>
          <w:numId w:val="2"/>
        </w:numPr>
      </w:pPr>
      <w:r w:rsidRPr="00782561">
        <w:rPr>
          <w:b/>
          <w:bCs/>
        </w:rPr>
        <w:t>Password-protected systems with user role restrictions</w:t>
      </w:r>
    </w:p>
    <w:p w14:paraId="2075172D" w14:textId="77777777" w:rsidR="00782561" w:rsidRPr="00782561" w:rsidRDefault="00782561" w:rsidP="00782561">
      <w:pPr>
        <w:numPr>
          <w:ilvl w:val="0"/>
          <w:numId w:val="2"/>
        </w:numPr>
      </w:pPr>
      <w:r w:rsidRPr="00782561">
        <w:rPr>
          <w:b/>
          <w:bCs/>
        </w:rPr>
        <w:t>Secure backups and disaster recovery protocols</w:t>
      </w:r>
    </w:p>
    <w:p w14:paraId="4706CFC8" w14:textId="77777777" w:rsidR="00782561" w:rsidRPr="00782561" w:rsidRDefault="00782561" w:rsidP="00782561">
      <w:pPr>
        <w:numPr>
          <w:ilvl w:val="0"/>
          <w:numId w:val="2"/>
        </w:numPr>
      </w:pPr>
      <w:r w:rsidRPr="00782561">
        <w:rPr>
          <w:b/>
          <w:bCs/>
        </w:rPr>
        <w:t>Business Associate Agreements (BAAs)</w:t>
      </w:r>
      <w:r w:rsidRPr="00782561">
        <w:t xml:space="preserve"> with any third-party billing vendors</w:t>
      </w:r>
    </w:p>
    <w:p w14:paraId="6B5E1737" w14:textId="77777777" w:rsidR="00782561" w:rsidRPr="00782561" w:rsidRDefault="00782561" w:rsidP="00782561">
      <w:r w:rsidRPr="00782561">
        <w:lastRenderedPageBreak/>
        <w:t xml:space="preserve">HIPAA requires that you not only protect data—but that you can </w:t>
      </w:r>
      <w:r w:rsidRPr="00782561">
        <w:rPr>
          <w:b/>
          <w:bCs/>
        </w:rPr>
        <w:t>prove</w:t>
      </w:r>
      <w:r w:rsidRPr="00782561">
        <w:t xml:space="preserve"> you’re doing it.</w:t>
      </w:r>
    </w:p>
    <w:p w14:paraId="018203CD" w14:textId="77777777" w:rsidR="00782561" w:rsidRPr="00782561" w:rsidRDefault="00782561" w:rsidP="005005B5">
      <w:pPr>
        <w:pStyle w:val="Heading2"/>
      </w:pPr>
      <w:r w:rsidRPr="00782561">
        <w:t>3. Train Your Team on HIPAA Best Practices</w:t>
      </w:r>
    </w:p>
    <w:p w14:paraId="73D87216" w14:textId="77777777" w:rsidR="00782561" w:rsidRPr="00782561" w:rsidRDefault="00782561" w:rsidP="00782561">
      <w:r w:rsidRPr="00782561">
        <w:t>Everyone involved in billing—from front-desk staff to claims processors—needs ongoing training. Key training topics include:</w:t>
      </w:r>
    </w:p>
    <w:p w14:paraId="519DB30C" w14:textId="77777777" w:rsidR="00782561" w:rsidRPr="00782561" w:rsidRDefault="00782561" w:rsidP="00782561">
      <w:pPr>
        <w:numPr>
          <w:ilvl w:val="0"/>
          <w:numId w:val="3"/>
        </w:numPr>
      </w:pPr>
      <w:r w:rsidRPr="00782561">
        <w:t>Recognizing phishing attempts</w:t>
      </w:r>
    </w:p>
    <w:p w14:paraId="29EABEE2" w14:textId="77777777" w:rsidR="00782561" w:rsidRPr="00782561" w:rsidRDefault="00782561" w:rsidP="00782561">
      <w:pPr>
        <w:numPr>
          <w:ilvl w:val="0"/>
          <w:numId w:val="3"/>
        </w:numPr>
      </w:pPr>
      <w:r w:rsidRPr="00782561">
        <w:t>Properly handling paper records</w:t>
      </w:r>
    </w:p>
    <w:p w14:paraId="2DA9B0AE" w14:textId="77777777" w:rsidR="00782561" w:rsidRPr="00782561" w:rsidRDefault="00782561" w:rsidP="00782561">
      <w:pPr>
        <w:numPr>
          <w:ilvl w:val="0"/>
          <w:numId w:val="3"/>
        </w:numPr>
      </w:pPr>
      <w:r w:rsidRPr="00782561">
        <w:t>Reporting potential data breaches</w:t>
      </w:r>
    </w:p>
    <w:p w14:paraId="61EBCF1D" w14:textId="77777777" w:rsidR="00782561" w:rsidRPr="00782561" w:rsidRDefault="00782561" w:rsidP="00782561">
      <w:pPr>
        <w:numPr>
          <w:ilvl w:val="0"/>
          <w:numId w:val="3"/>
        </w:numPr>
      </w:pPr>
      <w:r w:rsidRPr="00782561">
        <w:t>Avoiding accidental disclosures over phone or email</w:t>
      </w:r>
    </w:p>
    <w:p w14:paraId="2E756573" w14:textId="77777777" w:rsidR="00782561" w:rsidRPr="00782561" w:rsidRDefault="00782561" w:rsidP="00782561">
      <w:r w:rsidRPr="00782561">
        <w:t xml:space="preserve">Training isn’t a one-and-done </w:t>
      </w:r>
      <w:proofErr w:type="gramStart"/>
      <w:r w:rsidRPr="00782561">
        <w:t>event—</w:t>
      </w:r>
      <w:proofErr w:type="gramEnd"/>
      <w:r w:rsidRPr="00782561">
        <w:t>it must be updated regularly and documented.</w:t>
      </w:r>
    </w:p>
    <w:p w14:paraId="6CBF6F23" w14:textId="77777777" w:rsidR="00782561" w:rsidRPr="00782561" w:rsidRDefault="00782561" w:rsidP="005005B5">
      <w:pPr>
        <w:pStyle w:val="Heading2"/>
      </w:pPr>
      <w:r w:rsidRPr="00782561">
        <w:t>4. Monitor for Common HIPAA Violations</w:t>
      </w:r>
    </w:p>
    <w:p w14:paraId="071786AF" w14:textId="77777777" w:rsidR="00782561" w:rsidRPr="00782561" w:rsidRDefault="00782561" w:rsidP="00782561">
      <w:r w:rsidRPr="00782561">
        <w:t xml:space="preserve">Even unintentional mistakes can lead to violations. </w:t>
      </w:r>
      <w:proofErr w:type="gramStart"/>
      <w:r w:rsidRPr="00782561">
        <w:t>Watch</w:t>
      </w:r>
      <w:proofErr w:type="gramEnd"/>
      <w:r w:rsidRPr="00782561">
        <w:t xml:space="preserve"> for these common issues in medical billing:</w:t>
      </w:r>
    </w:p>
    <w:p w14:paraId="2C968985" w14:textId="77777777" w:rsidR="00782561" w:rsidRPr="00782561" w:rsidRDefault="00782561" w:rsidP="00782561">
      <w:pPr>
        <w:numPr>
          <w:ilvl w:val="0"/>
          <w:numId w:val="4"/>
        </w:numPr>
      </w:pPr>
      <w:r w:rsidRPr="00782561">
        <w:t>Sending patient statements to the wrong address</w:t>
      </w:r>
    </w:p>
    <w:p w14:paraId="262671A9" w14:textId="77777777" w:rsidR="00782561" w:rsidRPr="00782561" w:rsidRDefault="00782561" w:rsidP="00782561">
      <w:pPr>
        <w:numPr>
          <w:ilvl w:val="0"/>
          <w:numId w:val="4"/>
        </w:numPr>
      </w:pPr>
      <w:r w:rsidRPr="00782561">
        <w:t>Discussing PHI in public areas</w:t>
      </w:r>
    </w:p>
    <w:p w14:paraId="2BE318AB" w14:textId="77777777" w:rsidR="00782561" w:rsidRPr="00782561" w:rsidRDefault="00782561" w:rsidP="00782561">
      <w:pPr>
        <w:numPr>
          <w:ilvl w:val="0"/>
          <w:numId w:val="4"/>
        </w:numPr>
      </w:pPr>
      <w:r w:rsidRPr="00782561">
        <w:t>Improper disposal of billing paperwork</w:t>
      </w:r>
    </w:p>
    <w:p w14:paraId="42361B68" w14:textId="77777777" w:rsidR="00782561" w:rsidRPr="00782561" w:rsidRDefault="00782561" w:rsidP="00782561">
      <w:pPr>
        <w:numPr>
          <w:ilvl w:val="0"/>
          <w:numId w:val="4"/>
        </w:numPr>
      </w:pPr>
      <w:r w:rsidRPr="00782561">
        <w:t>Failing to log out of billing systems</w:t>
      </w:r>
    </w:p>
    <w:p w14:paraId="30C642F8" w14:textId="77777777" w:rsidR="00782561" w:rsidRPr="00782561" w:rsidRDefault="00782561" w:rsidP="00782561">
      <w:r w:rsidRPr="00782561">
        <w:t>A single oversight could trigger an investigation or fine.</w:t>
      </w:r>
    </w:p>
    <w:p w14:paraId="4D4C185F" w14:textId="77777777" w:rsidR="00782561" w:rsidRPr="00782561" w:rsidRDefault="00782561" w:rsidP="005005B5">
      <w:pPr>
        <w:pStyle w:val="Heading2"/>
      </w:pPr>
      <w:r w:rsidRPr="00782561">
        <w:t>5. Review Vendor Compliance, Too</w:t>
      </w:r>
    </w:p>
    <w:p w14:paraId="7B4FD876" w14:textId="77777777" w:rsidR="00782561" w:rsidRPr="00782561" w:rsidRDefault="00782561" w:rsidP="00782561">
      <w:r w:rsidRPr="00782561">
        <w:t>If you outsource your billing, ensure the company is fully HIPAA-compliant. Ask about:</w:t>
      </w:r>
    </w:p>
    <w:p w14:paraId="413032E9" w14:textId="77777777" w:rsidR="00782561" w:rsidRPr="00782561" w:rsidRDefault="00782561" w:rsidP="00782561">
      <w:pPr>
        <w:numPr>
          <w:ilvl w:val="0"/>
          <w:numId w:val="5"/>
        </w:numPr>
      </w:pPr>
      <w:r w:rsidRPr="00782561">
        <w:t>Their staff training policies</w:t>
      </w:r>
    </w:p>
    <w:p w14:paraId="711DDADA" w14:textId="77777777" w:rsidR="00782561" w:rsidRPr="00782561" w:rsidRDefault="00782561" w:rsidP="00782561">
      <w:pPr>
        <w:numPr>
          <w:ilvl w:val="0"/>
          <w:numId w:val="5"/>
        </w:numPr>
      </w:pPr>
      <w:r w:rsidRPr="00782561">
        <w:t xml:space="preserve">Data </w:t>
      </w:r>
      <w:proofErr w:type="gramStart"/>
      <w:r w:rsidRPr="00782561">
        <w:t>encryption standards</w:t>
      </w:r>
      <w:proofErr w:type="gramEnd"/>
    </w:p>
    <w:p w14:paraId="2161BE9B" w14:textId="77777777" w:rsidR="00782561" w:rsidRPr="00782561" w:rsidRDefault="00782561" w:rsidP="00782561">
      <w:pPr>
        <w:numPr>
          <w:ilvl w:val="0"/>
          <w:numId w:val="5"/>
        </w:numPr>
      </w:pPr>
      <w:r w:rsidRPr="00782561">
        <w:t>Incident response plans</w:t>
      </w:r>
    </w:p>
    <w:p w14:paraId="3DD9F8E1" w14:textId="77777777" w:rsidR="00782561" w:rsidRPr="00782561" w:rsidRDefault="00782561" w:rsidP="00782561">
      <w:pPr>
        <w:numPr>
          <w:ilvl w:val="0"/>
          <w:numId w:val="5"/>
        </w:numPr>
      </w:pPr>
      <w:r w:rsidRPr="00782561">
        <w:t>Annual risk assessments</w:t>
      </w:r>
    </w:p>
    <w:p w14:paraId="6E2DAEE5" w14:textId="77777777" w:rsidR="00782561" w:rsidRPr="00782561" w:rsidRDefault="00782561" w:rsidP="00782561">
      <w:r w:rsidRPr="00782561">
        <w:t xml:space="preserve">Always have a signed </w:t>
      </w:r>
      <w:r w:rsidRPr="00782561">
        <w:rPr>
          <w:b/>
          <w:bCs/>
        </w:rPr>
        <w:t>Business Associate Agreement (BAA)</w:t>
      </w:r>
      <w:r w:rsidRPr="00782561">
        <w:t xml:space="preserve"> in place before sharing any patient data.</w:t>
      </w:r>
    </w:p>
    <w:p w14:paraId="0CD45464" w14:textId="77777777" w:rsidR="00782561" w:rsidRPr="00782561" w:rsidRDefault="00782561" w:rsidP="005005B5">
      <w:pPr>
        <w:pStyle w:val="Heading2"/>
      </w:pPr>
      <w:r w:rsidRPr="00782561">
        <w:lastRenderedPageBreak/>
        <w:t>Final Thoughts</w:t>
      </w:r>
    </w:p>
    <w:p w14:paraId="48B649C2" w14:textId="77777777" w:rsidR="00782561" w:rsidRPr="00782561" w:rsidRDefault="00782561" w:rsidP="00782561">
      <w:r w:rsidRPr="00782561">
        <w:t xml:space="preserve">HIPAA compliance isn't just a regulatory box to check—it’s </w:t>
      </w:r>
      <w:proofErr w:type="gramStart"/>
      <w:r w:rsidRPr="00782561">
        <w:t>foundational</w:t>
      </w:r>
      <w:proofErr w:type="gramEnd"/>
      <w:r w:rsidRPr="00782561">
        <w:t xml:space="preserve"> to </w:t>
      </w:r>
      <w:proofErr w:type="gramStart"/>
      <w:r w:rsidRPr="00782561">
        <w:t>running</w:t>
      </w:r>
      <w:proofErr w:type="gramEnd"/>
      <w:r w:rsidRPr="00782561">
        <w:t xml:space="preserve"> a trustworthy and financially healthy practice. In medical billing, compliance should be built into every process, tool, and communication. Protect your patients, protect your reputation, and protect your revenue by making HIPAA a priority.</w:t>
      </w:r>
    </w:p>
    <w:p w14:paraId="546B8194" w14:textId="77777777" w:rsidR="00782561" w:rsidRPr="00782561" w:rsidRDefault="00782561" w:rsidP="00782561">
      <w:r w:rsidRPr="00782561">
        <w:rPr>
          <w:b/>
          <w:bCs/>
        </w:rPr>
        <w:t>#HIPAACompliance #MedicalBilling #HealthcareCompliance #RCM #ProtectedHealthInformation #PHISecurity #HealthcareFinance #MedicalCoding #PracticeManagement #BillingSecurity #HIPAATraining #SecureBilling #BusinessAssociateAgreement #PatientPrivacy #HealthcareRiskManagement</w:t>
      </w:r>
    </w:p>
    <w:p w14:paraId="12C2FAFF" w14:textId="77777777" w:rsidR="00782561" w:rsidRDefault="00782561"/>
    <w:sectPr w:rsidR="00782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6595"/>
    <w:multiLevelType w:val="multilevel"/>
    <w:tmpl w:val="87C2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7046A"/>
    <w:multiLevelType w:val="multilevel"/>
    <w:tmpl w:val="2EF4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D2246E"/>
    <w:multiLevelType w:val="multilevel"/>
    <w:tmpl w:val="A0F2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075743"/>
    <w:multiLevelType w:val="multilevel"/>
    <w:tmpl w:val="ED36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2037CD"/>
    <w:multiLevelType w:val="multilevel"/>
    <w:tmpl w:val="D9A2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8341092">
    <w:abstractNumId w:val="4"/>
  </w:num>
  <w:num w:numId="2" w16cid:durableId="863521413">
    <w:abstractNumId w:val="2"/>
  </w:num>
  <w:num w:numId="3" w16cid:durableId="1274366294">
    <w:abstractNumId w:val="1"/>
  </w:num>
  <w:num w:numId="4" w16cid:durableId="772480692">
    <w:abstractNumId w:val="3"/>
  </w:num>
  <w:num w:numId="5" w16cid:durableId="1049450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61"/>
    <w:rsid w:val="00427CF5"/>
    <w:rsid w:val="005005B5"/>
    <w:rsid w:val="00782561"/>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E8C97"/>
  <w15:chartTrackingRefBased/>
  <w15:docId w15:val="{BEA8EF51-3F76-4629-B2AC-1C9CEF1D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2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2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561"/>
    <w:rPr>
      <w:rFonts w:eastAsiaTheme="majorEastAsia" w:cstheme="majorBidi"/>
      <w:color w:val="272727" w:themeColor="text1" w:themeTint="D8"/>
    </w:rPr>
  </w:style>
  <w:style w:type="paragraph" w:styleId="Title">
    <w:name w:val="Title"/>
    <w:basedOn w:val="Normal"/>
    <w:next w:val="Normal"/>
    <w:link w:val="TitleChar"/>
    <w:uiPriority w:val="10"/>
    <w:qFormat/>
    <w:rsid w:val="00782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561"/>
    <w:pPr>
      <w:spacing w:before="160"/>
      <w:jc w:val="center"/>
    </w:pPr>
    <w:rPr>
      <w:i/>
      <w:iCs/>
      <w:color w:val="404040" w:themeColor="text1" w:themeTint="BF"/>
    </w:rPr>
  </w:style>
  <w:style w:type="character" w:customStyle="1" w:styleId="QuoteChar">
    <w:name w:val="Quote Char"/>
    <w:basedOn w:val="DefaultParagraphFont"/>
    <w:link w:val="Quote"/>
    <w:uiPriority w:val="29"/>
    <w:rsid w:val="00782561"/>
    <w:rPr>
      <w:i/>
      <w:iCs/>
      <w:color w:val="404040" w:themeColor="text1" w:themeTint="BF"/>
    </w:rPr>
  </w:style>
  <w:style w:type="paragraph" w:styleId="ListParagraph">
    <w:name w:val="List Paragraph"/>
    <w:basedOn w:val="Normal"/>
    <w:uiPriority w:val="34"/>
    <w:qFormat/>
    <w:rsid w:val="00782561"/>
    <w:pPr>
      <w:ind w:left="720"/>
      <w:contextualSpacing/>
    </w:pPr>
  </w:style>
  <w:style w:type="character" w:styleId="IntenseEmphasis">
    <w:name w:val="Intense Emphasis"/>
    <w:basedOn w:val="DefaultParagraphFont"/>
    <w:uiPriority w:val="21"/>
    <w:qFormat/>
    <w:rsid w:val="00782561"/>
    <w:rPr>
      <w:i/>
      <w:iCs/>
      <w:color w:val="0F4761" w:themeColor="accent1" w:themeShade="BF"/>
    </w:rPr>
  </w:style>
  <w:style w:type="paragraph" w:styleId="IntenseQuote">
    <w:name w:val="Intense Quote"/>
    <w:basedOn w:val="Normal"/>
    <w:next w:val="Normal"/>
    <w:link w:val="IntenseQuoteChar"/>
    <w:uiPriority w:val="30"/>
    <w:qFormat/>
    <w:rsid w:val="00782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561"/>
    <w:rPr>
      <w:i/>
      <w:iCs/>
      <w:color w:val="0F4761" w:themeColor="accent1" w:themeShade="BF"/>
    </w:rPr>
  </w:style>
  <w:style w:type="character" w:styleId="IntenseReference">
    <w:name w:val="Intense Reference"/>
    <w:basedOn w:val="DefaultParagraphFont"/>
    <w:uiPriority w:val="32"/>
    <w:qFormat/>
    <w:rsid w:val="007825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016">
      <w:bodyDiv w:val="1"/>
      <w:marLeft w:val="0"/>
      <w:marRight w:val="0"/>
      <w:marTop w:val="0"/>
      <w:marBottom w:val="0"/>
      <w:divBdr>
        <w:top w:val="none" w:sz="0" w:space="0" w:color="auto"/>
        <w:left w:val="none" w:sz="0" w:space="0" w:color="auto"/>
        <w:bottom w:val="none" w:sz="0" w:space="0" w:color="auto"/>
        <w:right w:val="none" w:sz="0" w:space="0" w:color="auto"/>
      </w:divBdr>
    </w:div>
    <w:div w:id="1809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435</Words>
  <Characters>2783</Characters>
  <Application>Microsoft Office Word</Application>
  <DocSecurity>0</DocSecurity>
  <Lines>60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2025-04-21T18:33:00Z</dcterms:created>
  <dcterms:modified xsi:type="dcterms:W3CDTF">2025-04-21T18:49:00Z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314e3ca5-d643-4743-8098-0eb30f6927f0</vt:lpwstr>
  </property>
</Properties>
</file>