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78DB" w14:textId="411EA64A" w:rsidR="00967EA3" w:rsidRDefault="00967EA3" w:rsidP="004F7CE2">
      <w:pPr>
        <w:pStyle w:val="Heading1"/>
      </w:pPr>
      <w:r w:rsidRPr="00967EA3">
        <w:t>21 CFR Part 11 Compliance: What Every Project Manager Needs to Know</w:t>
      </w:r>
    </w:p>
    <w:p w14:paraId="0DFE67C3" w14:textId="0AB10B8C" w:rsidR="004F7CE2" w:rsidRDefault="004F7CE2" w:rsidP="00967EA3">
      <w:pPr>
        <w:rPr>
          <w:b/>
          <w:bCs/>
        </w:rPr>
      </w:pPr>
      <w:r w:rsidRPr="004F7CE2">
        <w:rPr>
          <w:b/>
          <w:bCs/>
        </w:rPr>
        <w:t>Published on 15 May 2025 at 16:50</w:t>
      </w:r>
    </w:p>
    <w:p w14:paraId="14A8733E" w14:textId="3499DEA0" w:rsidR="004F7CE2" w:rsidRPr="00967EA3" w:rsidRDefault="004F7CE2" w:rsidP="00967EA3">
      <w:pPr>
        <w:rPr>
          <w:b/>
          <w:bCs/>
        </w:rPr>
      </w:pPr>
      <w:r>
        <w:rPr>
          <w:b/>
          <w:bCs/>
        </w:rPr>
        <w:t>By Kimberly Wiethoff</w:t>
      </w:r>
    </w:p>
    <w:p w14:paraId="3CAF2FB1" w14:textId="77777777" w:rsidR="00967EA3" w:rsidRPr="00967EA3" w:rsidRDefault="00967EA3" w:rsidP="00967EA3">
      <w:r w:rsidRPr="00967EA3">
        <w:t>As project managers leading IT or digital transformation efforts in regulated industries like biotech, pharma, and medical devices, we’re often tasked with more than just timelines and resource management—we’re responsible for ensuring systems support regulatory compliance from day one.</w:t>
      </w:r>
    </w:p>
    <w:p w14:paraId="27C573BE" w14:textId="77777777" w:rsidR="00967EA3" w:rsidRPr="00967EA3" w:rsidRDefault="00967EA3" w:rsidP="00967EA3">
      <w:r w:rsidRPr="00967EA3">
        <w:t xml:space="preserve">One of the most critical FDA regulations we encounter is </w:t>
      </w:r>
      <w:r w:rsidRPr="00967EA3">
        <w:rPr>
          <w:b/>
          <w:bCs/>
        </w:rPr>
        <w:t>21 CFR Part 11</w:t>
      </w:r>
      <w:r w:rsidRPr="00967EA3">
        <w:t xml:space="preserve">. Whether you're implementing an </w:t>
      </w:r>
      <w:proofErr w:type="spellStart"/>
      <w:r w:rsidRPr="00967EA3">
        <w:t>eQMS</w:t>
      </w:r>
      <w:proofErr w:type="spellEnd"/>
      <w:r w:rsidRPr="00967EA3">
        <w:t>, digitizing SOPs, or managing a cloud-based data system, this rule affects how you plan, document, and validate project deliverables.</w:t>
      </w:r>
    </w:p>
    <w:p w14:paraId="5CF5FCB7" w14:textId="77777777" w:rsidR="00967EA3" w:rsidRPr="00967EA3" w:rsidRDefault="00967EA3" w:rsidP="00967EA3">
      <w:r w:rsidRPr="00967EA3">
        <w:t>Here’s what you need to know to stay ahead of compliance requirements—and how to lead your team with confidence.</w:t>
      </w:r>
    </w:p>
    <w:p w14:paraId="63ECD743" w14:textId="77777777" w:rsidR="00967EA3" w:rsidRPr="00967EA3" w:rsidRDefault="00967EA3" w:rsidP="00967EA3">
      <w:r w:rsidRPr="00967EA3">
        <w:pict w14:anchorId="756235A5">
          <v:rect id="_x0000_i1080" style="width:0;height:1.5pt" o:hralign="center" o:hrstd="t" o:hr="t" fillcolor="#a0a0a0" stroked="f"/>
        </w:pict>
      </w:r>
    </w:p>
    <w:p w14:paraId="100B1CEE" w14:textId="77777777" w:rsidR="00967EA3" w:rsidRPr="00967EA3" w:rsidRDefault="00967EA3" w:rsidP="004F7CE2">
      <w:pPr>
        <w:pStyle w:val="Heading2"/>
      </w:pPr>
      <w:r w:rsidRPr="00967EA3">
        <w:rPr>
          <w:rFonts w:ascii="Segoe UI Emoji" w:hAnsi="Segoe UI Emoji" w:cs="Segoe UI Emoji"/>
        </w:rPr>
        <w:t>📘</w:t>
      </w:r>
      <w:r w:rsidRPr="00967EA3">
        <w:t xml:space="preserve"> What Is 21 CFR Part 11?</w:t>
      </w:r>
    </w:p>
    <w:p w14:paraId="1561860B" w14:textId="77777777" w:rsidR="00967EA3" w:rsidRPr="00967EA3" w:rsidRDefault="00967EA3" w:rsidP="00967EA3">
      <w:r w:rsidRPr="00967EA3">
        <w:rPr>
          <w:b/>
          <w:bCs/>
        </w:rPr>
        <w:t>21 CFR Part 11</w:t>
      </w:r>
      <w:r w:rsidRPr="00967EA3">
        <w:t xml:space="preserve"> is a U.S. FDA regulation that defines the requirements for </w:t>
      </w:r>
      <w:r w:rsidRPr="00967EA3">
        <w:rPr>
          <w:b/>
          <w:bCs/>
        </w:rPr>
        <w:t>electronic records and electronic signatures</w:t>
      </w:r>
      <w:r w:rsidRPr="00967EA3">
        <w:t xml:space="preserve">. In simple terms, it ensures that digital records are just as </w:t>
      </w:r>
      <w:r w:rsidRPr="00967EA3">
        <w:rPr>
          <w:b/>
          <w:bCs/>
        </w:rPr>
        <w:t>trustworthy, secure, and traceable</w:t>
      </w:r>
      <w:r w:rsidRPr="00967EA3">
        <w:t xml:space="preserve"> as paper ones.</w:t>
      </w:r>
    </w:p>
    <w:p w14:paraId="59601495" w14:textId="77777777" w:rsidR="00967EA3" w:rsidRPr="00967EA3" w:rsidRDefault="00967EA3" w:rsidP="00967EA3">
      <w:r w:rsidRPr="00967EA3">
        <w:t>If your project includes the use of electronic systems to store, sign, or manage documents used in FDA-regulated processes, you must ensure those systems comply with Part 11.</w:t>
      </w:r>
    </w:p>
    <w:p w14:paraId="560287FF" w14:textId="77777777" w:rsidR="00967EA3" w:rsidRPr="00967EA3" w:rsidRDefault="00967EA3" w:rsidP="00967EA3">
      <w:r w:rsidRPr="00967EA3">
        <w:pict w14:anchorId="53B0E1BE">
          <v:rect id="_x0000_i1081" style="width:0;height:1.5pt" o:hralign="center" o:hrstd="t" o:hr="t" fillcolor="#a0a0a0" stroked="f"/>
        </w:pict>
      </w:r>
    </w:p>
    <w:p w14:paraId="3A2822BF" w14:textId="77777777" w:rsidR="00967EA3" w:rsidRPr="00967EA3" w:rsidRDefault="00967EA3" w:rsidP="004F7CE2">
      <w:pPr>
        <w:pStyle w:val="Heading2"/>
      </w:pPr>
      <w:r w:rsidRPr="00967EA3">
        <w:rPr>
          <w:rFonts w:ascii="Segoe UI Emoji" w:hAnsi="Segoe UI Emoji" w:cs="Segoe UI Emoji"/>
        </w:rPr>
        <w:t>🧭</w:t>
      </w:r>
      <w:r w:rsidRPr="00967EA3">
        <w:t xml:space="preserve"> Why It Matters for Project Managers</w:t>
      </w:r>
    </w:p>
    <w:p w14:paraId="30C9BC73" w14:textId="77777777" w:rsidR="00967EA3" w:rsidRPr="00967EA3" w:rsidRDefault="00967EA3" w:rsidP="00967EA3">
      <w:r w:rsidRPr="00967EA3">
        <w:t>Compliance isn’t just a “check-the-box” exercise—it’s central to system validation, audit readiness, and operational integrity. As a project manager, failing to address Part 11 requirements early can lead to:</w:t>
      </w:r>
    </w:p>
    <w:p w14:paraId="464F510F" w14:textId="77777777" w:rsidR="00967EA3" w:rsidRPr="00967EA3" w:rsidRDefault="00967EA3" w:rsidP="00967EA3">
      <w:pPr>
        <w:numPr>
          <w:ilvl w:val="0"/>
          <w:numId w:val="1"/>
        </w:numPr>
      </w:pPr>
      <w:r w:rsidRPr="00967EA3">
        <w:t xml:space="preserve">Costly </w:t>
      </w:r>
      <w:r w:rsidRPr="00967EA3">
        <w:rPr>
          <w:b/>
          <w:bCs/>
        </w:rPr>
        <w:t>rework</w:t>
      </w:r>
    </w:p>
    <w:p w14:paraId="6BE578A6" w14:textId="77777777" w:rsidR="00967EA3" w:rsidRPr="00967EA3" w:rsidRDefault="00967EA3" w:rsidP="00967EA3">
      <w:pPr>
        <w:numPr>
          <w:ilvl w:val="0"/>
          <w:numId w:val="1"/>
        </w:numPr>
      </w:pPr>
      <w:r w:rsidRPr="00967EA3">
        <w:t xml:space="preserve">Failed </w:t>
      </w:r>
      <w:r w:rsidRPr="00967EA3">
        <w:rPr>
          <w:b/>
          <w:bCs/>
        </w:rPr>
        <w:t>validation testing</w:t>
      </w:r>
    </w:p>
    <w:p w14:paraId="5D526E17" w14:textId="77777777" w:rsidR="00967EA3" w:rsidRPr="00967EA3" w:rsidRDefault="00967EA3" w:rsidP="00967EA3">
      <w:pPr>
        <w:numPr>
          <w:ilvl w:val="0"/>
          <w:numId w:val="1"/>
        </w:numPr>
      </w:pPr>
      <w:r w:rsidRPr="00967EA3">
        <w:t xml:space="preserve">Delays in </w:t>
      </w:r>
      <w:r w:rsidRPr="00967EA3">
        <w:rPr>
          <w:b/>
          <w:bCs/>
        </w:rPr>
        <w:t>go-live or regulatory submissions</w:t>
      </w:r>
    </w:p>
    <w:p w14:paraId="3E5656E0" w14:textId="77777777" w:rsidR="00967EA3" w:rsidRPr="00967EA3" w:rsidRDefault="00967EA3" w:rsidP="00967EA3">
      <w:pPr>
        <w:numPr>
          <w:ilvl w:val="0"/>
          <w:numId w:val="1"/>
        </w:numPr>
      </w:pPr>
      <w:r w:rsidRPr="00967EA3">
        <w:lastRenderedPageBreak/>
        <w:t xml:space="preserve">Exposure during </w:t>
      </w:r>
      <w:r w:rsidRPr="00967EA3">
        <w:rPr>
          <w:b/>
          <w:bCs/>
        </w:rPr>
        <w:t>FDA audits</w:t>
      </w:r>
    </w:p>
    <w:p w14:paraId="114FA625" w14:textId="77777777" w:rsidR="00967EA3" w:rsidRPr="00967EA3" w:rsidRDefault="00967EA3" w:rsidP="00967EA3">
      <w:r w:rsidRPr="00967EA3">
        <w:pict w14:anchorId="43D117F4">
          <v:rect id="_x0000_i1082" style="width:0;height:1.5pt" o:hralign="center" o:hrstd="t" o:hr="t" fillcolor="#a0a0a0" stroked="f"/>
        </w:pict>
      </w:r>
    </w:p>
    <w:p w14:paraId="37A599F5" w14:textId="77777777" w:rsidR="00967EA3" w:rsidRPr="00967EA3" w:rsidRDefault="00967EA3" w:rsidP="004F7CE2">
      <w:pPr>
        <w:pStyle w:val="Heading2"/>
      </w:pPr>
      <w:r w:rsidRPr="00967EA3">
        <w:rPr>
          <w:rFonts w:ascii="Segoe UI Emoji" w:hAnsi="Segoe UI Emoji" w:cs="Segoe UI Emoji"/>
        </w:rPr>
        <w:t>🔍</w:t>
      </w:r>
      <w:r w:rsidRPr="00967EA3">
        <w:t xml:space="preserve"> 7 Key Compliance Areas PMs Must Understand</w:t>
      </w:r>
    </w:p>
    <w:p w14:paraId="67100E8A" w14:textId="77777777" w:rsidR="00967EA3" w:rsidRPr="00967EA3" w:rsidRDefault="00967EA3" w:rsidP="00967EA3">
      <w:pPr>
        <w:rPr>
          <w:b/>
          <w:bCs/>
        </w:rPr>
      </w:pPr>
      <w:r w:rsidRPr="00967EA3">
        <w:rPr>
          <w:b/>
          <w:bCs/>
        </w:rPr>
        <w:t>1. Electronic Records Management</w:t>
      </w:r>
    </w:p>
    <w:p w14:paraId="6E0AA95C" w14:textId="77777777" w:rsidR="00967EA3" w:rsidRPr="00967EA3" w:rsidRDefault="00967EA3" w:rsidP="00967EA3">
      <w:r w:rsidRPr="00967EA3">
        <w:t>Ensure your solution can:</w:t>
      </w:r>
    </w:p>
    <w:p w14:paraId="2A101779" w14:textId="77777777" w:rsidR="00967EA3" w:rsidRPr="00967EA3" w:rsidRDefault="00967EA3" w:rsidP="00967EA3">
      <w:pPr>
        <w:numPr>
          <w:ilvl w:val="0"/>
          <w:numId w:val="2"/>
        </w:numPr>
      </w:pPr>
      <w:r w:rsidRPr="00967EA3">
        <w:t>Maintain data integrity over time</w:t>
      </w:r>
    </w:p>
    <w:p w14:paraId="466149E9" w14:textId="77777777" w:rsidR="00967EA3" w:rsidRPr="00967EA3" w:rsidRDefault="00967EA3" w:rsidP="00967EA3">
      <w:pPr>
        <w:numPr>
          <w:ilvl w:val="0"/>
          <w:numId w:val="2"/>
        </w:numPr>
      </w:pPr>
      <w:r w:rsidRPr="00967EA3">
        <w:t>Restrict unauthorized changes</w:t>
      </w:r>
    </w:p>
    <w:p w14:paraId="1D5D3807" w14:textId="77777777" w:rsidR="00967EA3" w:rsidRPr="00967EA3" w:rsidRDefault="00967EA3" w:rsidP="00967EA3">
      <w:pPr>
        <w:numPr>
          <w:ilvl w:val="0"/>
          <w:numId w:val="2"/>
        </w:numPr>
      </w:pPr>
      <w:r w:rsidRPr="00967EA3">
        <w:t>Provide complete version control</w:t>
      </w:r>
    </w:p>
    <w:p w14:paraId="1C3B29DB" w14:textId="77777777" w:rsidR="00967EA3" w:rsidRPr="00967EA3" w:rsidRDefault="00967EA3" w:rsidP="00967EA3">
      <w:pPr>
        <w:rPr>
          <w:b/>
          <w:bCs/>
        </w:rPr>
      </w:pPr>
      <w:r w:rsidRPr="00967EA3">
        <w:rPr>
          <w:b/>
          <w:bCs/>
        </w:rPr>
        <w:t>2. Electronic Signatures</w:t>
      </w:r>
    </w:p>
    <w:p w14:paraId="24C16AB6" w14:textId="77777777" w:rsidR="00967EA3" w:rsidRPr="00967EA3" w:rsidRDefault="00967EA3" w:rsidP="00967EA3">
      <w:r w:rsidRPr="00967EA3">
        <w:t>Does your system:</w:t>
      </w:r>
    </w:p>
    <w:p w14:paraId="2B278BC7" w14:textId="77777777" w:rsidR="00967EA3" w:rsidRPr="00967EA3" w:rsidRDefault="00967EA3" w:rsidP="00967EA3">
      <w:pPr>
        <w:numPr>
          <w:ilvl w:val="0"/>
          <w:numId w:val="3"/>
        </w:numPr>
      </w:pPr>
      <w:r w:rsidRPr="00967EA3">
        <w:t>Uniquely identify each signer?</w:t>
      </w:r>
    </w:p>
    <w:p w14:paraId="272A2BF5" w14:textId="77777777" w:rsidR="00967EA3" w:rsidRPr="00967EA3" w:rsidRDefault="00967EA3" w:rsidP="00967EA3">
      <w:pPr>
        <w:numPr>
          <w:ilvl w:val="0"/>
          <w:numId w:val="3"/>
        </w:numPr>
      </w:pPr>
      <w:r w:rsidRPr="00967EA3">
        <w:t>Time-stamp every action?</w:t>
      </w:r>
    </w:p>
    <w:p w14:paraId="17E5279B" w14:textId="77777777" w:rsidR="00967EA3" w:rsidRPr="00967EA3" w:rsidRDefault="00967EA3" w:rsidP="00967EA3">
      <w:pPr>
        <w:numPr>
          <w:ilvl w:val="0"/>
          <w:numId w:val="3"/>
        </w:numPr>
      </w:pPr>
      <w:r w:rsidRPr="00967EA3">
        <w:t>Prevent signature duplication or tampering?</w:t>
      </w:r>
    </w:p>
    <w:p w14:paraId="4D2D115E" w14:textId="77777777" w:rsidR="00967EA3" w:rsidRPr="00967EA3" w:rsidRDefault="00967EA3" w:rsidP="00967EA3">
      <w:pPr>
        <w:rPr>
          <w:b/>
          <w:bCs/>
        </w:rPr>
      </w:pPr>
      <w:r w:rsidRPr="00967EA3">
        <w:rPr>
          <w:b/>
          <w:bCs/>
        </w:rPr>
        <w:t>3. Audit Trails</w:t>
      </w:r>
    </w:p>
    <w:p w14:paraId="5500157E" w14:textId="77777777" w:rsidR="00967EA3" w:rsidRPr="00967EA3" w:rsidRDefault="00967EA3" w:rsidP="00967EA3">
      <w:r w:rsidRPr="00967EA3">
        <w:t>Your system must:</w:t>
      </w:r>
    </w:p>
    <w:p w14:paraId="7F457483" w14:textId="77777777" w:rsidR="00967EA3" w:rsidRPr="00967EA3" w:rsidRDefault="00967EA3" w:rsidP="00967EA3">
      <w:pPr>
        <w:numPr>
          <w:ilvl w:val="0"/>
          <w:numId w:val="4"/>
        </w:numPr>
      </w:pPr>
      <w:r w:rsidRPr="00967EA3">
        <w:t>Track all changes (who, what, when, why)</w:t>
      </w:r>
    </w:p>
    <w:p w14:paraId="2693BB74" w14:textId="77777777" w:rsidR="00967EA3" w:rsidRPr="00967EA3" w:rsidRDefault="00967EA3" w:rsidP="00967EA3">
      <w:pPr>
        <w:numPr>
          <w:ilvl w:val="0"/>
          <w:numId w:val="4"/>
        </w:numPr>
      </w:pPr>
      <w:r w:rsidRPr="00967EA3">
        <w:t>Maintain logs in a secure and reviewable format</w:t>
      </w:r>
    </w:p>
    <w:p w14:paraId="0C8B2058" w14:textId="77777777" w:rsidR="00967EA3" w:rsidRPr="00967EA3" w:rsidRDefault="00967EA3" w:rsidP="00967EA3">
      <w:pPr>
        <w:rPr>
          <w:b/>
          <w:bCs/>
        </w:rPr>
      </w:pPr>
      <w:r w:rsidRPr="00967EA3">
        <w:rPr>
          <w:b/>
          <w:bCs/>
        </w:rPr>
        <w:t>4. System Validation</w:t>
      </w:r>
    </w:p>
    <w:p w14:paraId="50648338" w14:textId="77777777" w:rsidR="00967EA3" w:rsidRPr="00967EA3" w:rsidRDefault="00967EA3" w:rsidP="00967EA3">
      <w:r w:rsidRPr="00967EA3">
        <w:t>Work with QA and IT to:</w:t>
      </w:r>
    </w:p>
    <w:p w14:paraId="3B0ADE79" w14:textId="77777777" w:rsidR="00967EA3" w:rsidRPr="00967EA3" w:rsidRDefault="00967EA3" w:rsidP="00967EA3">
      <w:pPr>
        <w:numPr>
          <w:ilvl w:val="0"/>
          <w:numId w:val="5"/>
        </w:numPr>
      </w:pPr>
      <w:r w:rsidRPr="00967EA3">
        <w:t>Create a validation plan (IQ/OQ/PQ)</w:t>
      </w:r>
    </w:p>
    <w:p w14:paraId="2B05ADB6" w14:textId="77777777" w:rsidR="00967EA3" w:rsidRPr="00967EA3" w:rsidRDefault="00967EA3" w:rsidP="00967EA3">
      <w:pPr>
        <w:numPr>
          <w:ilvl w:val="0"/>
          <w:numId w:val="5"/>
        </w:numPr>
      </w:pPr>
      <w:r w:rsidRPr="00967EA3">
        <w:t>Test every feature that impacts data capture or compliance</w:t>
      </w:r>
    </w:p>
    <w:p w14:paraId="13E5EC39" w14:textId="77777777" w:rsidR="00967EA3" w:rsidRPr="00967EA3" w:rsidRDefault="00967EA3" w:rsidP="00967EA3">
      <w:pPr>
        <w:numPr>
          <w:ilvl w:val="0"/>
          <w:numId w:val="5"/>
        </w:numPr>
      </w:pPr>
      <w:r w:rsidRPr="00967EA3">
        <w:t>Document everything—from requirements to test results</w:t>
      </w:r>
    </w:p>
    <w:p w14:paraId="76A3F6A8" w14:textId="77777777" w:rsidR="00967EA3" w:rsidRPr="00967EA3" w:rsidRDefault="00967EA3" w:rsidP="00967EA3">
      <w:pPr>
        <w:rPr>
          <w:b/>
          <w:bCs/>
        </w:rPr>
      </w:pPr>
      <w:r w:rsidRPr="00967EA3">
        <w:rPr>
          <w:b/>
          <w:bCs/>
        </w:rPr>
        <w:t>5. Security &amp; Access Control</w:t>
      </w:r>
    </w:p>
    <w:p w14:paraId="0B3A94D4" w14:textId="77777777" w:rsidR="00967EA3" w:rsidRPr="00967EA3" w:rsidRDefault="00967EA3" w:rsidP="00967EA3">
      <w:r w:rsidRPr="00967EA3">
        <w:t>Ensure:</w:t>
      </w:r>
    </w:p>
    <w:p w14:paraId="616C3DFD" w14:textId="77777777" w:rsidR="00967EA3" w:rsidRPr="00967EA3" w:rsidRDefault="00967EA3" w:rsidP="00967EA3">
      <w:pPr>
        <w:numPr>
          <w:ilvl w:val="0"/>
          <w:numId w:val="6"/>
        </w:numPr>
      </w:pPr>
      <w:r w:rsidRPr="00967EA3">
        <w:t>Role-based access is enforced</w:t>
      </w:r>
    </w:p>
    <w:p w14:paraId="1092FCDD" w14:textId="77777777" w:rsidR="00967EA3" w:rsidRPr="00967EA3" w:rsidRDefault="00967EA3" w:rsidP="00967EA3">
      <w:pPr>
        <w:numPr>
          <w:ilvl w:val="0"/>
          <w:numId w:val="6"/>
        </w:numPr>
      </w:pPr>
      <w:r w:rsidRPr="00967EA3">
        <w:t>Multifactor authentication is enabled (when possible)</w:t>
      </w:r>
    </w:p>
    <w:p w14:paraId="71FB579D" w14:textId="77777777" w:rsidR="00967EA3" w:rsidRPr="00967EA3" w:rsidRDefault="00967EA3" w:rsidP="00967EA3">
      <w:pPr>
        <w:numPr>
          <w:ilvl w:val="0"/>
          <w:numId w:val="6"/>
        </w:numPr>
      </w:pPr>
      <w:r w:rsidRPr="00967EA3">
        <w:lastRenderedPageBreak/>
        <w:t>User privileges align with SOPs and regulatory expectations</w:t>
      </w:r>
    </w:p>
    <w:p w14:paraId="525D1E1E" w14:textId="77777777" w:rsidR="00967EA3" w:rsidRPr="00967EA3" w:rsidRDefault="00967EA3" w:rsidP="00967EA3">
      <w:pPr>
        <w:rPr>
          <w:b/>
          <w:bCs/>
        </w:rPr>
      </w:pPr>
      <w:r w:rsidRPr="00967EA3">
        <w:rPr>
          <w:b/>
          <w:bCs/>
        </w:rPr>
        <w:t>6. Training &amp; SOPs</w:t>
      </w:r>
    </w:p>
    <w:p w14:paraId="595936F2" w14:textId="77777777" w:rsidR="00967EA3" w:rsidRPr="00967EA3" w:rsidRDefault="00967EA3" w:rsidP="00967EA3">
      <w:r w:rsidRPr="00967EA3">
        <w:t>Project deliverables must include:</w:t>
      </w:r>
    </w:p>
    <w:p w14:paraId="4E9DB7C8" w14:textId="77777777" w:rsidR="00967EA3" w:rsidRPr="00967EA3" w:rsidRDefault="00967EA3" w:rsidP="00967EA3">
      <w:pPr>
        <w:numPr>
          <w:ilvl w:val="0"/>
          <w:numId w:val="7"/>
        </w:numPr>
      </w:pPr>
      <w:r w:rsidRPr="00967EA3">
        <w:t>Updated SOPs for system usage</w:t>
      </w:r>
    </w:p>
    <w:p w14:paraId="13A053A4" w14:textId="77777777" w:rsidR="00967EA3" w:rsidRPr="00967EA3" w:rsidRDefault="00967EA3" w:rsidP="00967EA3">
      <w:pPr>
        <w:numPr>
          <w:ilvl w:val="0"/>
          <w:numId w:val="7"/>
        </w:numPr>
      </w:pPr>
      <w:r w:rsidRPr="00967EA3">
        <w:t>Role-specific training materials</w:t>
      </w:r>
    </w:p>
    <w:p w14:paraId="08B58835" w14:textId="77777777" w:rsidR="00967EA3" w:rsidRPr="00967EA3" w:rsidRDefault="00967EA3" w:rsidP="00967EA3">
      <w:pPr>
        <w:numPr>
          <w:ilvl w:val="0"/>
          <w:numId w:val="7"/>
        </w:numPr>
      </w:pPr>
      <w:r w:rsidRPr="00967EA3">
        <w:t>Change management documentation</w:t>
      </w:r>
    </w:p>
    <w:p w14:paraId="373713A0" w14:textId="77777777" w:rsidR="00967EA3" w:rsidRPr="00967EA3" w:rsidRDefault="00967EA3" w:rsidP="00967EA3">
      <w:pPr>
        <w:rPr>
          <w:b/>
          <w:bCs/>
        </w:rPr>
      </w:pPr>
      <w:r w:rsidRPr="00967EA3">
        <w:rPr>
          <w:b/>
          <w:bCs/>
        </w:rPr>
        <w:t>7. Vendor Qualification</w:t>
      </w:r>
    </w:p>
    <w:p w14:paraId="56F8A7B5" w14:textId="77777777" w:rsidR="00967EA3" w:rsidRPr="00967EA3" w:rsidRDefault="00967EA3" w:rsidP="00967EA3">
      <w:r w:rsidRPr="00967EA3">
        <w:t xml:space="preserve">If using a third-party platform (like </w:t>
      </w:r>
      <w:proofErr w:type="spellStart"/>
      <w:r w:rsidRPr="00967EA3">
        <w:t>TrackWise</w:t>
      </w:r>
      <w:proofErr w:type="spellEnd"/>
      <w:r w:rsidRPr="00967EA3">
        <w:t xml:space="preserve"> Digital, </w:t>
      </w:r>
      <w:proofErr w:type="spellStart"/>
      <w:r w:rsidRPr="00967EA3">
        <w:t>MasterControl</w:t>
      </w:r>
      <w:proofErr w:type="spellEnd"/>
      <w:r w:rsidRPr="00967EA3">
        <w:t>, or Veeva Vault), ensure:</w:t>
      </w:r>
    </w:p>
    <w:p w14:paraId="1C46A8A4" w14:textId="77777777" w:rsidR="00967EA3" w:rsidRPr="00967EA3" w:rsidRDefault="00967EA3" w:rsidP="00967EA3">
      <w:pPr>
        <w:numPr>
          <w:ilvl w:val="0"/>
          <w:numId w:val="8"/>
        </w:numPr>
      </w:pPr>
      <w:r w:rsidRPr="00967EA3">
        <w:t>Vendor has a compliance roadmap</w:t>
      </w:r>
    </w:p>
    <w:p w14:paraId="5DC065E8" w14:textId="77777777" w:rsidR="00967EA3" w:rsidRPr="00967EA3" w:rsidRDefault="00967EA3" w:rsidP="00967EA3">
      <w:pPr>
        <w:numPr>
          <w:ilvl w:val="0"/>
          <w:numId w:val="8"/>
        </w:numPr>
      </w:pPr>
      <w:r w:rsidRPr="00967EA3">
        <w:t>You have their validation package or SOC reports</w:t>
      </w:r>
    </w:p>
    <w:p w14:paraId="39125650" w14:textId="77777777" w:rsidR="00967EA3" w:rsidRPr="00967EA3" w:rsidRDefault="00967EA3" w:rsidP="00967EA3">
      <w:pPr>
        <w:numPr>
          <w:ilvl w:val="0"/>
          <w:numId w:val="8"/>
        </w:numPr>
      </w:pPr>
      <w:r w:rsidRPr="00967EA3">
        <w:t>Vendor agreements reflect shared compliance responsibilities</w:t>
      </w:r>
    </w:p>
    <w:p w14:paraId="0F861D86" w14:textId="77777777" w:rsidR="00967EA3" w:rsidRPr="00967EA3" w:rsidRDefault="00967EA3" w:rsidP="00967EA3">
      <w:r w:rsidRPr="00967EA3">
        <w:pict w14:anchorId="4790D4FD">
          <v:rect id="_x0000_i1083" style="width:0;height:1.5pt" o:hralign="center" o:hrstd="t" o:hr="t" fillcolor="#a0a0a0" stroked="f"/>
        </w:pict>
      </w:r>
    </w:p>
    <w:p w14:paraId="272744B8" w14:textId="77777777" w:rsidR="00967EA3" w:rsidRPr="00967EA3" w:rsidRDefault="00967EA3" w:rsidP="004F7CE2">
      <w:pPr>
        <w:pStyle w:val="Heading2"/>
      </w:pPr>
      <w:r w:rsidRPr="00967EA3">
        <w:rPr>
          <w:rFonts w:ascii="Segoe UI Emoji" w:hAnsi="Segoe UI Emoji" w:cs="Segoe UI Emoji"/>
        </w:rPr>
        <w:t>📅</w:t>
      </w:r>
      <w:r w:rsidRPr="00967EA3">
        <w:t xml:space="preserve"> When to Address Part 11 in Your Project Plan</w:t>
      </w:r>
    </w:p>
    <w:p w14:paraId="288412AC" w14:textId="77777777" w:rsidR="00967EA3" w:rsidRPr="00967EA3" w:rsidRDefault="00967EA3" w:rsidP="00967EA3">
      <w:r w:rsidRPr="00967EA3">
        <w:t>Don't wait until UAT. Here’s where you should bake in compliance checkpoints:</w:t>
      </w:r>
    </w:p>
    <w:p w14:paraId="66ECE890" w14:textId="79C6BAB1" w:rsidR="004D1DFA" w:rsidRDefault="004D1DFA" w:rsidP="00967EA3">
      <w:r>
        <w:rPr>
          <w:noProof/>
        </w:rPr>
        <w:drawing>
          <wp:inline distT="0" distB="0" distL="0" distR="0" wp14:anchorId="57F51C06" wp14:editId="74DCDEDE">
            <wp:extent cx="5943600" cy="2569210"/>
            <wp:effectExtent l="0" t="0" r="0" b="2540"/>
            <wp:docPr id="1042306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655" name="Picture 1" descr="A screenshot of a computer&#10;&#10;AI-generated content may be incorrect."/>
                    <pic:cNvPicPr/>
                  </pic:nvPicPr>
                  <pic:blipFill>
                    <a:blip r:embed="rId5"/>
                    <a:stretch>
                      <a:fillRect/>
                    </a:stretch>
                  </pic:blipFill>
                  <pic:spPr>
                    <a:xfrm>
                      <a:off x="0" y="0"/>
                      <a:ext cx="5943600" cy="2569210"/>
                    </a:xfrm>
                    <a:prstGeom prst="rect">
                      <a:avLst/>
                    </a:prstGeom>
                  </pic:spPr>
                </pic:pic>
              </a:graphicData>
            </a:graphic>
          </wp:inline>
        </w:drawing>
      </w:r>
    </w:p>
    <w:p w14:paraId="5DBF1AE4" w14:textId="389FD64C" w:rsidR="00967EA3" w:rsidRPr="00967EA3" w:rsidRDefault="00967EA3" w:rsidP="00967EA3">
      <w:r w:rsidRPr="00967EA3">
        <w:pict w14:anchorId="1A47D696">
          <v:rect id="_x0000_i1084" style="width:0;height:1.5pt" o:hralign="center" o:hrstd="t" o:hr="t" fillcolor="#a0a0a0" stroked="f"/>
        </w:pict>
      </w:r>
    </w:p>
    <w:p w14:paraId="0777831C" w14:textId="77777777" w:rsidR="00967EA3" w:rsidRPr="00967EA3" w:rsidRDefault="00967EA3" w:rsidP="004F7CE2">
      <w:pPr>
        <w:pStyle w:val="Heading2"/>
      </w:pPr>
      <w:r w:rsidRPr="00967EA3">
        <w:rPr>
          <w:rFonts w:ascii="Segoe UI Emoji" w:hAnsi="Segoe UI Emoji" w:cs="Segoe UI Emoji"/>
        </w:rPr>
        <w:lastRenderedPageBreak/>
        <w:t>⚙️</w:t>
      </w:r>
      <w:r w:rsidRPr="00967EA3">
        <w:t xml:space="preserve"> Tools That Support Part 11 Projects</w:t>
      </w:r>
    </w:p>
    <w:p w14:paraId="0EED7A54" w14:textId="77777777" w:rsidR="00967EA3" w:rsidRPr="00967EA3" w:rsidRDefault="00967EA3" w:rsidP="00967EA3">
      <w:r w:rsidRPr="00967EA3">
        <w:t>As a PM, your toolkit should include platforms that simplify validation and compliance:</w:t>
      </w:r>
    </w:p>
    <w:p w14:paraId="477AA1FC" w14:textId="77777777" w:rsidR="00967EA3" w:rsidRPr="00967EA3" w:rsidRDefault="00967EA3" w:rsidP="00967EA3">
      <w:pPr>
        <w:numPr>
          <w:ilvl w:val="0"/>
          <w:numId w:val="9"/>
        </w:numPr>
      </w:pPr>
      <w:proofErr w:type="spellStart"/>
      <w:r w:rsidRPr="00967EA3">
        <w:rPr>
          <w:b/>
          <w:bCs/>
        </w:rPr>
        <w:t>TrackWise</w:t>
      </w:r>
      <w:proofErr w:type="spellEnd"/>
      <w:r w:rsidRPr="00967EA3">
        <w:rPr>
          <w:b/>
          <w:bCs/>
        </w:rPr>
        <w:t xml:space="preserve"> Digital</w:t>
      </w:r>
      <w:r w:rsidRPr="00967EA3">
        <w:t xml:space="preserve"> – EQMS with validation-ready modules</w:t>
      </w:r>
    </w:p>
    <w:p w14:paraId="46A52699" w14:textId="77777777" w:rsidR="00967EA3" w:rsidRPr="00967EA3" w:rsidRDefault="00967EA3" w:rsidP="00967EA3">
      <w:pPr>
        <w:numPr>
          <w:ilvl w:val="0"/>
          <w:numId w:val="9"/>
        </w:numPr>
      </w:pPr>
      <w:proofErr w:type="spellStart"/>
      <w:r w:rsidRPr="00967EA3">
        <w:rPr>
          <w:b/>
          <w:bCs/>
        </w:rPr>
        <w:t>MasterControl</w:t>
      </w:r>
      <w:proofErr w:type="spellEnd"/>
      <w:r w:rsidRPr="00967EA3">
        <w:t xml:space="preserve"> – Document control and training management</w:t>
      </w:r>
    </w:p>
    <w:p w14:paraId="48C6A48E" w14:textId="77777777" w:rsidR="00967EA3" w:rsidRPr="00967EA3" w:rsidRDefault="00967EA3" w:rsidP="00967EA3">
      <w:pPr>
        <w:numPr>
          <w:ilvl w:val="0"/>
          <w:numId w:val="9"/>
        </w:numPr>
      </w:pPr>
      <w:proofErr w:type="spellStart"/>
      <w:r w:rsidRPr="00967EA3">
        <w:rPr>
          <w:b/>
          <w:bCs/>
        </w:rPr>
        <w:t>ValGenesis</w:t>
      </w:r>
      <w:proofErr w:type="spellEnd"/>
      <w:r w:rsidRPr="00967EA3">
        <w:t xml:space="preserve"> – Validation lifecycle management</w:t>
      </w:r>
    </w:p>
    <w:p w14:paraId="07A3C7C9" w14:textId="77777777" w:rsidR="00967EA3" w:rsidRPr="00967EA3" w:rsidRDefault="00967EA3" w:rsidP="00967EA3">
      <w:pPr>
        <w:numPr>
          <w:ilvl w:val="0"/>
          <w:numId w:val="9"/>
        </w:numPr>
      </w:pPr>
      <w:r w:rsidRPr="00967EA3">
        <w:rPr>
          <w:b/>
          <w:bCs/>
        </w:rPr>
        <w:t>SharePoint with Custom Workflows</w:t>
      </w:r>
      <w:r w:rsidRPr="00967EA3">
        <w:t xml:space="preserve"> – When configured properly, it can support controlled document management</w:t>
      </w:r>
    </w:p>
    <w:p w14:paraId="31342896" w14:textId="77777777" w:rsidR="00967EA3" w:rsidRPr="00967EA3" w:rsidRDefault="00967EA3" w:rsidP="00967EA3">
      <w:r w:rsidRPr="00967EA3">
        <w:pict w14:anchorId="510008D1">
          <v:rect id="_x0000_i1085" style="width:0;height:1.5pt" o:hralign="center" o:hrstd="t" o:hr="t" fillcolor="#a0a0a0" stroked="f"/>
        </w:pict>
      </w:r>
    </w:p>
    <w:p w14:paraId="3905CFAB" w14:textId="77777777" w:rsidR="00967EA3" w:rsidRPr="00967EA3" w:rsidRDefault="00967EA3" w:rsidP="004F7CE2">
      <w:pPr>
        <w:pStyle w:val="Heading2"/>
      </w:pPr>
      <w:r w:rsidRPr="00967EA3">
        <w:rPr>
          <w:rFonts w:ascii="Segoe UI Emoji" w:hAnsi="Segoe UI Emoji" w:cs="Segoe UI Emoji"/>
        </w:rPr>
        <w:t>🧠</w:t>
      </w:r>
      <w:r w:rsidRPr="00967EA3">
        <w:t xml:space="preserve"> Final Thoughts: Leading with Compliance Confidence</w:t>
      </w:r>
    </w:p>
    <w:p w14:paraId="2EFCB068" w14:textId="77777777" w:rsidR="00967EA3" w:rsidRPr="00967EA3" w:rsidRDefault="00967EA3" w:rsidP="00967EA3">
      <w:r w:rsidRPr="00967EA3">
        <w:t xml:space="preserve">21 CFR Part 11 compliance doesn’t have to be intimidating—it just needs to be </w:t>
      </w:r>
      <w:r w:rsidRPr="00967EA3">
        <w:rPr>
          <w:b/>
          <w:bCs/>
        </w:rPr>
        <w:t>planned for</w:t>
      </w:r>
      <w:r w:rsidRPr="00967EA3">
        <w:t>. As project managers, we play a crucial role in ensuring our teams build, test, and document systems that can stand up to regulatory scrutiny.</w:t>
      </w:r>
    </w:p>
    <w:p w14:paraId="2F086517" w14:textId="77777777" w:rsidR="00967EA3" w:rsidRPr="00967EA3" w:rsidRDefault="00967EA3" w:rsidP="00967EA3">
      <w:r w:rsidRPr="00967EA3">
        <w:rPr>
          <w:rFonts w:ascii="Segoe UI Emoji" w:hAnsi="Segoe UI Emoji" w:cs="Segoe UI Emoji"/>
        </w:rPr>
        <w:t>💬</w:t>
      </w:r>
      <w:r w:rsidRPr="00967EA3">
        <w:t xml:space="preserve"> Ask the right questions.</w:t>
      </w:r>
      <w:r w:rsidRPr="00967EA3">
        <w:br/>
      </w:r>
      <w:r w:rsidRPr="00967EA3">
        <w:rPr>
          <w:rFonts w:ascii="Segoe UI Symbol" w:hAnsi="Segoe UI Symbol" w:cs="Segoe UI Symbol"/>
        </w:rPr>
        <w:t>🗂</w:t>
      </w:r>
      <w:r w:rsidRPr="00967EA3">
        <w:t xml:space="preserve"> Involve the right stakeholders early.</w:t>
      </w:r>
      <w:r w:rsidRPr="00967EA3">
        <w:br/>
      </w:r>
      <w:r w:rsidRPr="00967EA3">
        <w:rPr>
          <w:rFonts w:ascii="Segoe UI Symbol" w:hAnsi="Segoe UI Symbol" w:cs="Segoe UI Symbol"/>
        </w:rPr>
        <w:t>🛡</w:t>
      </w:r>
      <w:r w:rsidRPr="00967EA3">
        <w:t xml:space="preserve"> Treat compliance as a </w:t>
      </w:r>
      <w:r w:rsidRPr="00967EA3">
        <w:rPr>
          <w:i/>
          <w:iCs/>
        </w:rPr>
        <w:t>requirement</w:t>
      </w:r>
      <w:r w:rsidRPr="00967EA3">
        <w:t xml:space="preserve">, not a </w:t>
      </w:r>
      <w:r w:rsidRPr="00967EA3">
        <w:rPr>
          <w:i/>
          <w:iCs/>
        </w:rPr>
        <w:t>risk</w:t>
      </w:r>
      <w:r w:rsidRPr="00967EA3">
        <w:t>.</w:t>
      </w:r>
    </w:p>
    <w:p w14:paraId="701AFEFD" w14:textId="77777777" w:rsidR="00967EA3" w:rsidRPr="00967EA3" w:rsidRDefault="00967EA3" w:rsidP="00967EA3">
      <w:r w:rsidRPr="00967EA3">
        <w:t>Remember: FDA compliance isn’t just about passing audits—it’s about protecting patients, data, and your organization’s integrity.</w:t>
      </w:r>
    </w:p>
    <w:p w14:paraId="4EB34605" w14:textId="77777777" w:rsidR="004F7CE2" w:rsidRDefault="004F7CE2" w:rsidP="00967EA3"/>
    <w:p w14:paraId="73E6822E" w14:textId="4286E1B1" w:rsidR="00967EA3" w:rsidRPr="00967EA3" w:rsidRDefault="00967EA3" w:rsidP="00967EA3">
      <w:pPr>
        <w:rPr>
          <w:b/>
          <w:bCs/>
        </w:rPr>
      </w:pPr>
      <w:r w:rsidRPr="00967EA3">
        <w:rPr>
          <w:b/>
          <w:bCs/>
        </w:rPr>
        <w:t>#21CFRPart11 #ProjectManagement #FDACompliance #LifeSciencesIT #DigitalValidation #eQMS #AgileInRegulatedIndustries #ManagingProjectsTheAgileWay #RiskManagement #SystemValidation</w:t>
      </w:r>
      <w:r w:rsidR="004F7CE2">
        <w:rPr>
          <w:b/>
          <w:bCs/>
        </w:rPr>
        <w:t xml:space="preserve"> #ManagingProjectsTheAgileWay</w:t>
      </w:r>
    </w:p>
    <w:p w14:paraId="0819A09B" w14:textId="77777777" w:rsidR="00967EA3" w:rsidRDefault="00967EA3"/>
    <w:sectPr w:rsidR="00967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A0E"/>
    <w:multiLevelType w:val="multilevel"/>
    <w:tmpl w:val="E44C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23DDC"/>
    <w:multiLevelType w:val="multilevel"/>
    <w:tmpl w:val="DC66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F2373"/>
    <w:multiLevelType w:val="multilevel"/>
    <w:tmpl w:val="3510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D3F9C"/>
    <w:multiLevelType w:val="multilevel"/>
    <w:tmpl w:val="262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8321B"/>
    <w:multiLevelType w:val="multilevel"/>
    <w:tmpl w:val="E318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4787A"/>
    <w:multiLevelType w:val="multilevel"/>
    <w:tmpl w:val="656E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87875"/>
    <w:multiLevelType w:val="multilevel"/>
    <w:tmpl w:val="C12E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73EDE"/>
    <w:multiLevelType w:val="multilevel"/>
    <w:tmpl w:val="16BE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64265"/>
    <w:multiLevelType w:val="multilevel"/>
    <w:tmpl w:val="C608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316858">
    <w:abstractNumId w:val="6"/>
  </w:num>
  <w:num w:numId="2" w16cid:durableId="739904457">
    <w:abstractNumId w:val="0"/>
  </w:num>
  <w:num w:numId="3" w16cid:durableId="608926502">
    <w:abstractNumId w:val="4"/>
  </w:num>
  <w:num w:numId="4" w16cid:durableId="1479418804">
    <w:abstractNumId w:val="2"/>
  </w:num>
  <w:num w:numId="5" w16cid:durableId="1908608115">
    <w:abstractNumId w:val="8"/>
  </w:num>
  <w:num w:numId="6" w16cid:durableId="460926472">
    <w:abstractNumId w:val="7"/>
  </w:num>
  <w:num w:numId="7" w16cid:durableId="1533613605">
    <w:abstractNumId w:val="1"/>
  </w:num>
  <w:num w:numId="8" w16cid:durableId="1712144997">
    <w:abstractNumId w:val="5"/>
  </w:num>
  <w:num w:numId="9" w16cid:durableId="136992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A3"/>
    <w:rsid w:val="004D1DFA"/>
    <w:rsid w:val="004F7CE2"/>
    <w:rsid w:val="005724BA"/>
    <w:rsid w:val="0096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D014"/>
  <w15:chartTrackingRefBased/>
  <w15:docId w15:val="{30746592-2C3A-44D4-971E-5B036A19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7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7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EA3"/>
    <w:rPr>
      <w:rFonts w:eastAsiaTheme="majorEastAsia" w:cstheme="majorBidi"/>
      <w:color w:val="272727" w:themeColor="text1" w:themeTint="D8"/>
    </w:rPr>
  </w:style>
  <w:style w:type="paragraph" w:styleId="Title">
    <w:name w:val="Title"/>
    <w:basedOn w:val="Normal"/>
    <w:next w:val="Normal"/>
    <w:link w:val="TitleChar"/>
    <w:uiPriority w:val="10"/>
    <w:qFormat/>
    <w:rsid w:val="00967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EA3"/>
    <w:pPr>
      <w:spacing w:before="160"/>
      <w:jc w:val="center"/>
    </w:pPr>
    <w:rPr>
      <w:i/>
      <w:iCs/>
      <w:color w:val="404040" w:themeColor="text1" w:themeTint="BF"/>
    </w:rPr>
  </w:style>
  <w:style w:type="character" w:customStyle="1" w:styleId="QuoteChar">
    <w:name w:val="Quote Char"/>
    <w:basedOn w:val="DefaultParagraphFont"/>
    <w:link w:val="Quote"/>
    <w:uiPriority w:val="29"/>
    <w:rsid w:val="00967EA3"/>
    <w:rPr>
      <w:i/>
      <w:iCs/>
      <w:color w:val="404040" w:themeColor="text1" w:themeTint="BF"/>
    </w:rPr>
  </w:style>
  <w:style w:type="paragraph" w:styleId="ListParagraph">
    <w:name w:val="List Paragraph"/>
    <w:basedOn w:val="Normal"/>
    <w:uiPriority w:val="34"/>
    <w:qFormat/>
    <w:rsid w:val="00967EA3"/>
    <w:pPr>
      <w:ind w:left="720"/>
      <w:contextualSpacing/>
    </w:pPr>
  </w:style>
  <w:style w:type="character" w:styleId="IntenseEmphasis">
    <w:name w:val="Intense Emphasis"/>
    <w:basedOn w:val="DefaultParagraphFont"/>
    <w:uiPriority w:val="21"/>
    <w:qFormat/>
    <w:rsid w:val="00967EA3"/>
    <w:rPr>
      <w:i/>
      <w:iCs/>
      <w:color w:val="0F4761" w:themeColor="accent1" w:themeShade="BF"/>
    </w:rPr>
  </w:style>
  <w:style w:type="paragraph" w:styleId="IntenseQuote">
    <w:name w:val="Intense Quote"/>
    <w:basedOn w:val="Normal"/>
    <w:next w:val="Normal"/>
    <w:link w:val="IntenseQuoteChar"/>
    <w:uiPriority w:val="30"/>
    <w:qFormat/>
    <w:rsid w:val="00967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EA3"/>
    <w:rPr>
      <w:i/>
      <w:iCs/>
      <w:color w:val="0F4761" w:themeColor="accent1" w:themeShade="BF"/>
    </w:rPr>
  </w:style>
  <w:style w:type="character" w:styleId="IntenseReference">
    <w:name w:val="Intense Reference"/>
    <w:basedOn w:val="DefaultParagraphFont"/>
    <w:uiPriority w:val="32"/>
    <w:qFormat/>
    <w:rsid w:val="00967EA3"/>
    <w:rPr>
      <w:b/>
      <w:bCs/>
      <w:smallCaps/>
      <w:color w:val="0F4761" w:themeColor="accent1" w:themeShade="BF"/>
      <w:spacing w:val="5"/>
    </w:rPr>
  </w:style>
  <w:style w:type="character" w:styleId="Hyperlink">
    <w:name w:val="Hyperlink"/>
    <w:basedOn w:val="DefaultParagraphFont"/>
    <w:uiPriority w:val="99"/>
    <w:unhideWhenUsed/>
    <w:rsid w:val="00967EA3"/>
    <w:rPr>
      <w:color w:val="467886" w:themeColor="hyperlink"/>
      <w:u w:val="single"/>
    </w:rPr>
  </w:style>
  <w:style w:type="character" w:styleId="UnresolvedMention">
    <w:name w:val="Unresolved Mention"/>
    <w:basedOn w:val="DefaultParagraphFont"/>
    <w:uiPriority w:val="99"/>
    <w:semiHidden/>
    <w:unhideWhenUsed/>
    <w:rsid w:val="00967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11579">
      <w:bodyDiv w:val="1"/>
      <w:marLeft w:val="0"/>
      <w:marRight w:val="0"/>
      <w:marTop w:val="0"/>
      <w:marBottom w:val="0"/>
      <w:divBdr>
        <w:top w:val="none" w:sz="0" w:space="0" w:color="auto"/>
        <w:left w:val="none" w:sz="0" w:space="0" w:color="auto"/>
        <w:bottom w:val="none" w:sz="0" w:space="0" w:color="auto"/>
        <w:right w:val="none" w:sz="0" w:space="0" w:color="auto"/>
      </w:divBdr>
    </w:div>
    <w:div w:id="183915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2025-05-15T21:01:00Z</dcterms:created>
  <dcterms:modified xsi:type="dcterms:W3CDTF">2025-05-15T21:52:00Z</dcterms:modified>
</cp:coreProperties>
</file>